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bookmarkStart w:id="0" w:name="_GoBack"/>
      <w:bookmarkEnd w:id="0"/>
    </w:p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7854" wp14:editId="79200D99">
                <wp:simplePos x="0" y="0"/>
                <wp:positionH relativeFrom="column">
                  <wp:posOffset>-91432</wp:posOffset>
                </wp:positionH>
                <wp:positionV relativeFrom="paragraph">
                  <wp:posOffset>10305</wp:posOffset>
                </wp:positionV>
                <wp:extent cx="6655443" cy="3113590"/>
                <wp:effectExtent l="0" t="0" r="12065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43" cy="3113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21C" w:rsidRPr="0072512C" w:rsidRDefault="0014134D" w:rsidP="003B621C">
                            <w:pPr>
                              <w:rPr>
                                <w:sz w:val="76"/>
                              </w:rPr>
                            </w:pPr>
                            <w:r w:rsidRPr="0072512C">
                              <w:rPr>
                                <w:rFonts w:cs="Arial"/>
                                <w:b/>
                                <w:sz w:val="76"/>
                                <w:szCs w:val="92"/>
                              </w:rPr>
                              <w:t>Ressources et références pour améliorer l’accessibilité universelle des bibliothèques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pt;margin-top:.8pt;width:524.05pt;height:2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BcdQIAAPoEAAAOAAAAZHJzL2Uyb0RvYy54bWysVE1v1DAQvSPxHyzfaZLt7tKNmq1KSxFS&#10;+RCFCzfHcTYG2xNsd5Pl1zO2s+kKJA6IHCw7M/P8ZuaNL69GrcheWCfBVLQ4yykRhkMjza6iXz7f&#10;vbigxHlmGqbAiIoehKNX2+fPLoe+FAvoQDXCEgQxrhz6inbe92WWOd4JzdwZ9MKgsQWrmcej3WWN&#10;ZQOia5Ut8nydDWCb3gIXzuHf22Sk24jftoL7D23rhCeqosjNx9XGtQ5rtr1k5c6yvpN8osH+gYVm&#10;0uClM9Qt84w8WvkHlJbcgoPWn3HQGbSt5CLmgNkU+W/ZPHSsFzEXLI7r5zK5/wfL3+8/WiKbiq4p&#10;MUxji75io0gjiBejF2QRSjT0rkTPhx59/fgKRmx1TNf198C/O2LgpmNmJ66thaETrEGKRYjMTkIT&#10;jgsg9fAOGryLPXqIQGNrdagfVoQgOrbqMLcHeRCOP9fr1Wq5PKeEo+28KM5Xm9jAjJXH8N46/0aA&#10;JmFTUYv9j/Bsf+98oMPKo0u4TRkyVHSzWqxSNqBkcyeVCrYoQXGjLNkzFE+9S/mg4dRLS4/6VVJX&#10;9CIPX1JUKMFr00R1eSZV2uPtykw1CWWYCuIPSiQ2n0SLvYj5Jwp2VwcGSbA4UViXo2wjGAYExxY5&#10;z7FFnk/NCUP0lIHyxwwm9xAp4ozMsXmqA//7vXNQvBuMn+M1+wZ27rtLmQUJ+LEeJyHV0BxQAhbS&#10;MOLjgZsO7E9KBhzEirofj8wKStRbgzLaFMtlmNx4WK5eLvBgTy31qYUZjlAV9ZSk7Y2PxQtMDVyj&#10;3FoZhRBIJSZTQ3DAoj6mxyBM8Ok5ej09WdtfAAAA//8DAFBLAwQUAAYACAAAACEAWTu8U+IAAAAK&#10;AQAADwAAAGRycy9kb3ducmV2LnhtbEyPy07DMBBF90j9B2uQukGtExr6CHEqVIEEEgtIW7F14iFJ&#10;a4+j2G3D3+OuYDk6V/eeydaD0eyMvWstCYinETCkyqqWagG77ctkCcx5SUpqSyjgBx2s89FNJlNl&#10;L/SJ58LXLJSQS6WAxvsu5dxVDRrpprZDCuzb9kb6cPY1V728hHKj+X0UzbmRLYWFRna4abA6Ficj&#10;YH94KF4P+9pUz3rx4XZv+PVe3gkxvh2eHoF5HPxfGK76QR3y4FTaEynHtIBJnCQhGsAc2JVHs9kC&#10;WCkgWcUr4HnG/7+Q/wIAAP//AwBQSwECLQAUAAYACAAAACEAtoM4kv4AAADhAQAAEwAAAAAAAAAA&#10;AAAAAAAAAAAAW0NvbnRlbnRfVHlwZXNdLnhtbFBLAQItABQABgAIAAAAIQA4/SH/1gAAAJQBAAAL&#10;AAAAAAAAAAAAAAAAAC8BAABfcmVscy8ucmVsc1BLAQItABQABgAIAAAAIQDFpOBcdQIAAPoEAAAO&#10;AAAAAAAAAAAAAAAAAC4CAABkcnMvZTJvRG9jLnhtbFBLAQItABQABgAIAAAAIQBZO7xT4gAAAAoB&#10;AAAPAAAAAAAAAAAAAAAAAM8EAABkcnMvZG93bnJldi54bWxQSwUGAAAAAAQABADzAAAA3gUAAAAA&#10;" fillcolor="white [3201]" strokecolor="white [3212]">
                <v:textbox>
                  <w:txbxContent>
                    <w:p w:rsidR="003B621C" w:rsidRPr="0072512C" w:rsidRDefault="0014134D" w:rsidP="003B621C">
                      <w:pPr>
                        <w:rPr>
                          <w:sz w:val="76"/>
                        </w:rPr>
                      </w:pPr>
                      <w:r w:rsidRPr="0072512C">
                        <w:rPr>
                          <w:rFonts w:cs="Arial"/>
                          <w:b/>
                          <w:sz w:val="76"/>
                          <w:szCs w:val="92"/>
                        </w:rPr>
                        <w:t>Ressources et références pour améliorer l’accessibilité universelle des bibliothèques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72512C" w:rsidP="003B621C">
      <w:pPr>
        <w:spacing w:line="276" w:lineRule="auto"/>
        <w:rPr>
          <w:rFonts w:cs="Arial"/>
          <w:b/>
          <w:color w:val="102B95"/>
          <w:sz w:val="3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D6885" wp14:editId="430F72A2">
                <wp:simplePos x="0" y="0"/>
                <wp:positionH relativeFrom="column">
                  <wp:posOffset>-115160</wp:posOffset>
                </wp:positionH>
                <wp:positionV relativeFrom="paragraph">
                  <wp:posOffset>153960</wp:posOffset>
                </wp:positionV>
                <wp:extent cx="5173345" cy="1018540"/>
                <wp:effectExtent l="0" t="0" r="2730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1018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21C" w:rsidRPr="00EC6E77" w:rsidRDefault="0014134D" w:rsidP="00247503">
                            <w:pPr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14134D"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Guide à l’attention du responsable en bibliothèque </w:t>
                            </w:r>
                            <w:r w:rsidR="00247503"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B621C" w:rsidRDefault="003B621C" w:rsidP="003B621C"/>
                          <w:p w:rsidR="0014134D" w:rsidRDefault="0014134D" w:rsidP="003B621C"/>
                          <w:p w:rsidR="0014134D" w:rsidRDefault="0014134D" w:rsidP="003B621C"/>
                          <w:p w:rsidR="0014134D" w:rsidRPr="00D4078F" w:rsidRDefault="0014134D" w:rsidP="003B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9.05pt;margin-top:12.1pt;width:407.3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/XdgIAAAEFAAAOAAAAZHJzL2Uyb0RvYy54bWysVE1v1DAQvSPxHyzfaZL9oG202aq0FCGV&#10;D1G4cHMcZ2OwPcF2N1l+PWM7m65A4oDIIbI9M89vZt54czVqRfbCOgmmosVZTokwHBppdhX98vnu&#10;xQUlzjPTMAVGVPQgHL3aPn+2GfpSLKAD1QhLEMS4cugr2nnfl1nmeCc0c2fQC4PGFqxmHrd2lzWW&#10;DYiuVbbI85fZALbpLXDhHJ7eJiPdRvy2Fdx/aFsnPFEVRW4+/m381+GfbTes3FnWd5JPNNg/sNBM&#10;Grx0hrplnpFHK/+A0pJbcND6Mw46g7aVXMQcMJsi/y2bh471IuaCxXH9XCb3/2D5+/1HS2RT0SUl&#10;hmls0VdsFGkE8WL0gixDiYbelej50KOvH1/BiK2O6br+Hvh3RwzcdMzsxLW1MHSCNUixCJHZSWjC&#10;cQGkHt5Bg3exRw8RaGytDvXDihBEx1Yd5vYgD8LxcF2cL5erNSUcbUVeXKxXsYEZK4/hvXX+jQBN&#10;wqKiFvsf4dn+3vlAh5VHl3CbMmSo6OV6sU7ZgJLNnVQq2KIExY2yZM9QPPUu5YOGUy8tPepXSV3R&#10;izx8SVGhBK9NE9XlmVRpjbcrM9UklGEqiD8okdh8Ei32IuafKNhdHRgkweJEYV2Oso1gGBAcW+Q8&#10;xxZ5PjUnDNFTBsofM5jcQ6SIMzLH5qkO/O/3zkHxbjB+jtfsG9i57y5lFiTgx3qMMoscwkkNzQGV&#10;YCHNJL4huOjA/qRkwHmsqPvxyKygRL01qKbLYoXdJj5uVuvzBW7sqaU+tTDDEaqinpK0vPGxhoGw&#10;gWtUXSujHp6YTH3BOYsymd6EMMin++j19HJtfwEAAP//AwBQSwMEFAAGAAgAAAAhAPQWe4bhAAAA&#10;CgEAAA8AAABkcnMvZG93bnJldi54bWxMj0FPg0AQhe8m/ofNmHgx7QKpFJGlMUYTTTwotvG6wAjU&#10;3VnCblv8944nPU7el/e+KTazNeKIkx8cKYiXEQikxrUDdQq274+LDIQPmlptHKGCb/SwKc/PCp23&#10;7kRveKxCJ7iEfK4V9CGMuZS+6dFqv3QjEmefbrI68Dl1sp30icutkUkUpdLqgXih1yPe99h8VQer&#10;YLe/rp72u842D2b96rfP+PFSXyl1eTHf3YIIOIc/GH71WR1KdqrdgVovjIJFnMWMKkhWCQgG1jdp&#10;CqJmMlulIMtC/n+h/AEAAP//AwBQSwECLQAUAAYACAAAACEAtoM4kv4AAADhAQAAEwAAAAAAAAAA&#10;AAAAAAAAAAAAW0NvbnRlbnRfVHlwZXNdLnhtbFBLAQItABQABgAIAAAAIQA4/SH/1gAAAJQBAAAL&#10;AAAAAAAAAAAAAAAAAC8BAABfcmVscy8ucmVsc1BLAQItABQABgAIAAAAIQCoV1/XdgIAAAEFAAAO&#10;AAAAAAAAAAAAAAAAAC4CAABkcnMvZTJvRG9jLnhtbFBLAQItABQABgAIAAAAIQD0FnuG4QAAAAoB&#10;AAAPAAAAAAAAAAAAAAAAANAEAABkcnMvZG93bnJldi54bWxQSwUGAAAAAAQABADzAAAA3gUAAAAA&#10;" fillcolor="white [3201]" strokecolor="white [3212]">
                <v:textbox>
                  <w:txbxContent>
                    <w:p w:rsidR="003B621C" w:rsidRPr="00EC6E77" w:rsidRDefault="0014134D" w:rsidP="00247503">
                      <w:pPr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14134D">
                        <w:rPr>
                          <w:rFonts w:cs="Arial"/>
                          <w:sz w:val="48"/>
                          <w:szCs w:val="48"/>
                        </w:rPr>
                        <w:t xml:space="preserve">Guide à l’attention du responsable en bibliothèque </w:t>
                      </w:r>
                      <w:r w:rsidR="00247503">
                        <w:rPr>
                          <w:rFonts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B621C" w:rsidRDefault="003B621C" w:rsidP="003B621C"/>
                    <w:p w:rsidR="0014134D" w:rsidRDefault="0014134D" w:rsidP="003B621C"/>
                    <w:p w:rsidR="0014134D" w:rsidRDefault="0014134D" w:rsidP="003B621C"/>
                    <w:p w:rsidR="0014134D" w:rsidRPr="00D4078F" w:rsidRDefault="0014134D" w:rsidP="003B621C"/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14134D" w:rsidP="003B621C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9A70E" wp14:editId="5CEAC8A2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3183255" cy="1087755"/>
                <wp:effectExtent l="0" t="0" r="1714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87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1C" w:rsidRPr="00901373" w:rsidRDefault="003B621C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901373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3B621C" w:rsidRPr="00901373" w:rsidRDefault="0014134D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Automne</w:t>
                            </w:r>
                            <w:r w:rsidR="00247503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2.05pt;width:250.6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uWgIAAPgEAAAOAAAAZHJzL2Uyb0RvYy54bWysVMlu2zAQvRfoPxC815K81KkQOUidpiiQ&#10;LmjaS280F4sIxVFJ2pL79R1StuqkQA5FLwRHnPdm3iy6vOobQ/bSeQ22osUkp0RaDkLbbUW/f7t9&#10;dUGJD8wKZsDKih6kp1erly8uu7aUU6jBCOkIklhfdm1F6xDaMss8r2XD/ARaafFRgWtYQNNtM+FY&#10;h+yNyaZ5/jrrwInWAZfe49eb4ZGuEr9SkofPSnkZiKko5hbS6dK5iWe2umTl1rG21vyYBvuHLBqm&#10;LQYdqW5YYGTn9F9UjeYOPKgw4dBkoJTmMmlANUX+RM19zVqZtGBxfDuWyf8/Wv5p/8URLSo6y5eU&#10;WNZgk35gq4iQJMg+SDKNRepaX6LvfYveoX8LPTY7CfbtHfAHTyysa2a38to56GrJBCZZRGR2Bh14&#10;fCTZdB9BYCy2C5CIeuWaWEGsCUF2bNZhbBDmQTh+nBUXs+liQQnHtyK/WC7RiDFYeYK3zof3EhoS&#10;LxV1OAGJnu3vfBhcTy4xmrHx9GC0uNXGJCPOnlwbR/YMp2azHWQ88YoS31mBjKwMTJvhjolExqQ5&#10;yjwKDgcjh2hfpcJqo5TpUL3HscTDKZax6BkhCrMaQUWeH6v+GGfCCXd0j0iZxn/E5s8HHL1TULBh&#10;BDbagnserAb/k/BBbux76Dd9mq5xiDYgDth+B8Mq4q8DLzW4X5R0uIYV9T93zElKzAeLI/SmmM/j&#10;3iZjvlhO0XDnL5vzF2Y5UlU0UDJc1yHtetRk4RpHTek0BDG3IZNjzrheaYyOv4K4v+d28vrzw1r9&#10;BgAA//8DAFBLAwQUAAYACAAAACEAhVXg6d4AAAAJAQAADwAAAGRycy9kb3ducmV2LnhtbEyPQU+D&#10;QBSE7yb+h80z8dYuCApBloY0arz00FbvW/YVSNm3uLsF/PeuJz1OZjLzTblZ9MAmtK43JCBeR8CQ&#10;GqN6agV8HF9XOTDnJSk5GEIB3+hgU93elLJQZqY9TgffslBCrpACOu/HgnPXdKilW5sRKXhnY7X0&#10;QdqWKyvnUK4H/hBFT1zLnsJCJ0fcdthcDlctwE7zV/2SbiN7zHb68y3Z1e+ZF+L+bqmfgXlc/F8Y&#10;fvEDOlSB6WSupBwbBKziPHzxAtIYWPDTPEmAnUIwe0yBVyX//6D6AQAA//8DAFBLAQItABQABgAI&#10;AAAAIQC2gziS/gAAAOEBAAATAAAAAAAAAAAAAAAAAAAAAABbQ29udGVudF9UeXBlc10ueG1sUEsB&#10;Ai0AFAAGAAgAAAAhADj9If/WAAAAlAEAAAsAAAAAAAAAAAAAAAAALwEAAF9yZWxzLy5yZWxzUEsB&#10;Ai0AFAAGAAgAAAAhAIs+o+5aAgAA+AQAAA4AAAAAAAAAAAAAAAAALgIAAGRycy9lMm9Eb2MueG1s&#10;UEsBAi0AFAAGAAgAAAAhAIVV4OneAAAACQEAAA8AAAAAAAAAAAAAAAAAtAQAAGRycy9kb3ducmV2&#10;LnhtbFBLBQYAAAAABAAEAPMAAAC/BQAAAAA=&#10;" fillcolor="white [3201]" strokecolor="white [3212]" strokeweight="2pt">
                <v:textbox>
                  <w:txbxContent>
                    <w:p w:rsidR="003B621C" w:rsidRPr="00901373" w:rsidRDefault="003B621C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901373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3B621C" w:rsidRPr="00901373" w:rsidRDefault="0014134D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>Automne</w:t>
                      </w:r>
                      <w:r w:rsidR="00247503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3B621C" w:rsidRPr="007703C0" w:rsidRDefault="003B621C" w:rsidP="003B621C">
      <w:pPr>
        <w:pStyle w:val="Titre"/>
      </w:pPr>
      <w:r w:rsidRPr="007703C0">
        <w:lastRenderedPageBreak/>
        <w:t>Crédits</w:t>
      </w:r>
    </w:p>
    <w:p w:rsidR="0000737C" w:rsidRDefault="0000737C" w:rsidP="0000737C">
      <w:pPr>
        <w:pStyle w:val="Titre2"/>
        <w:spacing w:before="0" w:line="240" w:lineRule="auto"/>
      </w:pPr>
    </w:p>
    <w:p w:rsidR="0000737C" w:rsidRDefault="003B621C" w:rsidP="0000737C">
      <w:pPr>
        <w:pStyle w:val="Titre2"/>
        <w:spacing w:before="0" w:line="240" w:lineRule="auto"/>
        <w:rPr>
          <w:b/>
        </w:rPr>
      </w:pPr>
      <w:r w:rsidRPr="007703C0">
        <w:t>Coordination</w:t>
      </w:r>
    </w:p>
    <w:p w:rsidR="0000737C" w:rsidRDefault="0000737C" w:rsidP="0000737C">
      <w:pPr>
        <w:pStyle w:val="Titre2"/>
        <w:spacing w:before="0" w:line="240" w:lineRule="auto"/>
        <w:rPr>
          <w:bCs w:val="0"/>
          <w:color w:val="auto"/>
          <w:sz w:val="24"/>
          <w:szCs w:val="24"/>
        </w:rPr>
      </w:pPr>
      <w:r w:rsidRPr="0000737C">
        <w:rPr>
          <w:bCs w:val="0"/>
          <w:color w:val="auto"/>
          <w:sz w:val="24"/>
          <w:szCs w:val="24"/>
        </w:rPr>
        <w:t xml:space="preserve">Sarah Limoges - Conseillère, Accessibilité universelle en loisir, AlterGo </w:t>
      </w:r>
    </w:p>
    <w:p w:rsidR="003B621C" w:rsidRPr="0000737C" w:rsidRDefault="003B621C" w:rsidP="008C12C9">
      <w:pPr>
        <w:pStyle w:val="Titre2"/>
        <w:rPr>
          <w:b/>
        </w:rPr>
      </w:pPr>
      <w:r w:rsidRPr="007703C0">
        <w:t>Recherche et rédaction</w:t>
      </w:r>
    </w:p>
    <w:p w:rsidR="003B621C" w:rsidRDefault="003B621C" w:rsidP="003B621C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2B5D37" w:rsidRPr="007703C0" w:rsidRDefault="002B5D37" w:rsidP="002B5D37">
      <w:pPr>
        <w:spacing w:line="276" w:lineRule="auto"/>
        <w:rPr>
          <w:rFonts w:cs="Arial"/>
        </w:rPr>
      </w:pPr>
      <w:r>
        <w:rPr>
          <w:rFonts w:cs="Arial"/>
        </w:rPr>
        <w:t xml:space="preserve">Sarah Limoges - Conseillère, Accessibilité universelle en loisir, AlterGo </w:t>
      </w:r>
    </w:p>
    <w:p w:rsidR="003B621C" w:rsidRPr="007703C0" w:rsidRDefault="00B73DDE" w:rsidP="003B621C">
      <w:pPr>
        <w:spacing w:line="276" w:lineRule="auto"/>
        <w:rPr>
          <w:rFonts w:cs="Arial"/>
        </w:rPr>
      </w:pPr>
      <w:r w:rsidRPr="00B73DDE">
        <w:rPr>
          <w:rFonts w:cs="Arial"/>
        </w:rPr>
        <w:t>Lise Roche – Directrice, Accessibilité universelle en loisir</w:t>
      </w:r>
      <w:r w:rsidR="0011625F">
        <w:rPr>
          <w:rFonts w:cs="Arial"/>
        </w:rPr>
        <w:t>, AlterGo</w:t>
      </w: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AD5349" w:rsidRDefault="00AD5349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8316F" wp14:editId="686D238C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3B621C" w:rsidRPr="0000737C" w:rsidTr="00DD2E6D">
        <w:trPr>
          <w:trHeight w:val="1032"/>
        </w:trPr>
        <w:tc>
          <w:tcPr>
            <w:tcW w:w="4977" w:type="dxa"/>
            <w:shd w:val="clear" w:color="auto" w:fill="auto"/>
          </w:tcPr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3B621C" w:rsidRPr="0000737C" w:rsidRDefault="0000737C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fr-CA"/>
              </w:rPr>
            </w:pPr>
            <w:r w:rsidRPr="0000737C">
              <w:rPr>
                <w:rFonts w:cs="Arial"/>
                <w:b/>
                <w:sz w:val="28"/>
                <w:szCs w:val="28"/>
                <w:lang w:val="fr-CA"/>
              </w:rPr>
              <w:t>Sarah Limoges</w:t>
            </w:r>
          </w:p>
          <w:p w:rsidR="003B621C" w:rsidRPr="0000737C" w:rsidRDefault="0000737C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fr-CA"/>
              </w:rPr>
            </w:pPr>
            <w:r w:rsidRPr="0000737C">
              <w:rPr>
                <w:rFonts w:cs="Arial"/>
                <w:b/>
                <w:sz w:val="28"/>
                <w:szCs w:val="28"/>
                <w:lang w:val="fr-CA"/>
              </w:rPr>
              <w:t>514-933-2739 poste 244</w:t>
            </w:r>
          </w:p>
          <w:p w:rsidR="003B621C" w:rsidRPr="0000737C" w:rsidRDefault="00F05689" w:rsidP="00DD2E6D">
            <w:pPr>
              <w:spacing w:line="276" w:lineRule="auto"/>
              <w:rPr>
                <w:rFonts w:cs="Arial"/>
                <w:b/>
                <w:lang w:val="fr-CA"/>
              </w:rPr>
            </w:pPr>
            <w:hyperlink r:id="rId9" w:history="1">
              <w:r w:rsidR="0000737C" w:rsidRPr="0000737C">
                <w:rPr>
                  <w:rStyle w:val="Lienhypertexte"/>
                  <w:rFonts w:cs="Arial"/>
                  <w:b/>
                  <w:sz w:val="28"/>
                  <w:szCs w:val="28"/>
                  <w:lang w:val="fr-CA"/>
                </w:rPr>
                <w:t>sarah@altergo.ca</w:t>
              </w:r>
            </w:hyperlink>
          </w:p>
        </w:tc>
      </w:tr>
    </w:tbl>
    <w:p w:rsidR="00AD5349" w:rsidRPr="0000737C" w:rsidRDefault="00AD5349" w:rsidP="00AD5349">
      <w:pPr>
        <w:rPr>
          <w:rFonts w:cs="Arial"/>
          <w:b/>
          <w:bCs/>
          <w:caps/>
          <w:color w:val="DC058F"/>
          <w:kern w:val="28"/>
          <w:sz w:val="40"/>
          <w:szCs w:val="32"/>
        </w:rPr>
      </w:pPr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</w:p>
    <w:p w:rsidR="00AD5349" w:rsidRPr="0000737C" w:rsidRDefault="00AD5349" w:rsidP="00AD5349"/>
    <w:p w:rsidR="00AD5349" w:rsidRPr="0000737C" w:rsidRDefault="00AD5349" w:rsidP="00AD5349"/>
    <w:p w:rsidR="00AD5349" w:rsidRPr="0000737C" w:rsidRDefault="00AD5349" w:rsidP="00AD5349"/>
    <w:p w:rsidR="00AD5349" w:rsidRPr="0000737C" w:rsidRDefault="00AD5349" w:rsidP="00AD5349"/>
    <w:p w:rsidR="00AD5349" w:rsidRPr="0000737C" w:rsidRDefault="00AD5349" w:rsidP="00AD5349"/>
    <w:p w:rsidR="00AD5349" w:rsidRPr="007703C0" w:rsidRDefault="00AD5349" w:rsidP="00AD5349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3DF9A2DA" wp14:editId="2CE95BBD">
            <wp:simplePos x="0" y="0"/>
            <wp:positionH relativeFrom="column">
              <wp:posOffset>10795</wp:posOffset>
            </wp:positionH>
            <wp:positionV relativeFrom="paragraph">
              <wp:posOffset>588010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Ce document </w:t>
      </w:r>
      <w:r w:rsidR="008965A0">
        <w:rPr>
          <w:rFonts w:cs="Arial"/>
        </w:rPr>
        <w:t>a été rendu</w:t>
      </w:r>
      <w:r w:rsidRPr="00AD5349">
        <w:rPr>
          <w:rFonts w:cs="Arial"/>
        </w:rPr>
        <w:t xml:space="preserve"> possible grâce à la collaboration du Service de la diversité sociale et des sports de la Ville de Montréal </w:t>
      </w: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Default="00AD5349" w:rsidP="00AD5349">
      <w:pPr>
        <w:spacing w:line="276" w:lineRule="auto"/>
        <w:rPr>
          <w:rFonts w:cs="Arial"/>
        </w:rPr>
      </w:pPr>
    </w:p>
    <w:p w:rsidR="00B73DDE" w:rsidRPr="007703C0" w:rsidRDefault="00B73DDE" w:rsidP="00AD5349">
      <w:pPr>
        <w:spacing w:line="276" w:lineRule="auto"/>
        <w:rPr>
          <w:rFonts w:cs="Arial"/>
        </w:rPr>
      </w:pPr>
    </w:p>
    <w:p w:rsidR="003B621C" w:rsidRPr="006A6731" w:rsidRDefault="003B621C" w:rsidP="003B621C">
      <w:pPr>
        <w:pStyle w:val="Titre"/>
      </w:pPr>
      <w:r w:rsidRPr="006A6731">
        <w:lastRenderedPageBreak/>
        <w:t xml:space="preserve">Introduction </w:t>
      </w:r>
    </w:p>
    <w:p w:rsidR="00BB6A36" w:rsidRPr="00BB6A36" w:rsidRDefault="006A235E" w:rsidP="00BB6A36">
      <w:pPr>
        <w:pStyle w:val="paragrapheintrobleu"/>
        <w:spacing w:before="240" w:line="276" w:lineRule="auto"/>
        <w:rPr>
          <w:rFonts w:cs="Arial"/>
          <w:color w:val="auto"/>
        </w:rPr>
      </w:pPr>
      <w:r w:rsidRPr="00EE26EE">
        <w:rPr>
          <w:rFonts w:cs="Arial"/>
          <w:color w:val="auto"/>
        </w:rPr>
        <w:t xml:space="preserve">Ce guide s’adresse </w:t>
      </w:r>
      <w:r w:rsidR="00EE26EE" w:rsidRPr="00EE26EE">
        <w:rPr>
          <w:rFonts w:cs="Arial"/>
          <w:color w:val="auto"/>
        </w:rPr>
        <w:t xml:space="preserve">aux responsables </w:t>
      </w:r>
      <w:r w:rsidR="0000737C">
        <w:rPr>
          <w:rFonts w:cs="Arial"/>
          <w:color w:val="auto"/>
        </w:rPr>
        <w:t>en bibliothèque</w:t>
      </w:r>
      <w:r w:rsidR="00EE26EE" w:rsidRPr="00EE26EE">
        <w:rPr>
          <w:rFonts w:cs="Arial"/>
          <w:color w:val="auto"/>
        </w:rPr>
        <w:t xml:space="preserve"> qui désirent améliorer l’accessibili</w:t>
      </w:r>
      <w:r w:rsidR="0000737C">
        <w:rPr>
          <w:rFonts w:cs="Arial"/>
          <w:color w:val="auto"/>
        </w:rPr>
        <w:t>té universelle de leurs se</w:t>
      </w:r>
      <w:r w:rsidR="008E2964">
        <w:rPr>
          <w:rFonts w:cs="Arial"/>
          <w:color w:val="auto"/>
        </w:rPr>
        <w:t>r</w:t>
      </w:r>
      <w:r w:rsidR="0000737C">
        <w:rPr>
          <w:rFonts w:cs="Arial"/>
          <w:color w:val="auto"/>
        </w:rPr>
        <w:t>vices</w:t>
      </w:r>
      <w:r w:rsidRPr="00EE26EE">
        <w:rPr>
          <w:rFonts w:cs="Arial"/>
          <w:color w:val="auto"/>
        </w:rPr>
        <w:t xml:space="preserve">. </w:t>
      </w:r>
      <w:r w:rsidR="003B621C" w:rsidRPr="00EE26EE">
        <w:rPr>
          <w:rFonts w:cs="Arial"/>
          <w:color w:val="auto"/>
        </w:rPr>
        <w:t>Vous trouverez dans ce guide différentes ressources et références qui faciliteront vos démarches</w:t>
      </w: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E26EE" w:rsidRPr="00EE26EE">
        <w:rPr>
          <w:rFonts w:cs="Arial"/>
          <w:color w:val="auto"/>
        </w:rPr>
        <w:t>.</w:t>
      </w:r>
      <w:r w:rsidR="00EE26EE">
        <w:rPr>
          <w:rFonts w:cs="Arial"/>
          <w:color w:val="auto"/>
        </w:rPr>
        <w:t xml:space="preserve"> </w:t>
      </w:r>
    </w:p>
    <w:p w:rsidR="00E35FBF" w:rsidRDefault="00E35FBF" w:rsidP="00E35FBF">
      <w:pPr>
        <w:pStyle w:val="Titre2"/>
      </w:pPr>
      <w:r w:rsidRPr="00E35FBF">
        <w:rPr>
          <w:bCs w:val="0"/>
        </w:rPr>
        <w:t>1.</w:t>
      </w:r>
      <w:r>
        <w:t xml:space="preserve"> </w:t>
      </w:r>
      <w:r w:rsidR="00BB6A36" w:rsidRPr="007703C0">
        <w:t xml:space="preserve">Ce que dit la loi au sujet </w:t>
      </w:r>
      <w:r w:rsidR="00BB6A36">
        <w:t xml:space="preserve">des droits des personnes ayant une limitation fonctionnelle </w:t>
      </w:r>
    </w:p>
    <w:p w:rsidR="00E35FBF" w:rsidRPr="00E35FBF" w:rsidRDefault="00E35FBF" w:rsidP="00E35FBF"/>
    <w:p w:rsidR="00BB6A36" w:rsidRPr="00BB6A36" w:rsidRDefault="00F05689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color w:val="0279BD"/>
          <w:u w:val="single"/>
        </w:rPr>
      </w:pPr>
      <w:hyperlink r:id="rId11" w:history="1">
        <w:r w:rsidR="00BB6A36" w:rsidRPr="00BB6A36">
          <w:rPr>
            <w:rStyle w:val="Lienhypertexte"/>
            <w:color w:val="0279BD"/>
          </w:rPr>
          <w:t>À part entière : pour un véritable exercice du droit à l’égalité, Gouvernement du Québec</w:t>
        </w:r>
      </w:hyperlink>
    </w:p>
    <w:p w:rsidR="00BB6A36" w:rsidRPr="00BB6A36" w:rsidRDefault="00BB6A36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"http://www2.publicationsduquebec.gouv.qc.ca/dynamicSearch/telecharge.php?type=2&amp;file=/C_12/C12.HTM"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Charte québécoise des droits et Charte de la personne</w:t>
      </w:r>
    </w:p>
    <w:p w:rsidR="00BB6A36" w:rsidRPr="00BB6A36" w:rsidRDefault="00BB6A36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"http://www2.publicationsduquebec.gouv.qc.ca/dynamicSearch/telecharge.php?type=2&amp;file=/E_20_1/E20_1.html"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Loi assurant l’exercice des droits des personnes handicapées en vue de leur intégration scolaire, professionnelle et sociale</w:t>
      </w:r>
    </w:p>
    <w:p w:rsidR="008C0195" w:rsidRPr="00B73DDE" w:rsidRDefault="00BB6A36" w:rsidP="00B73DDE">
      <w:pPr>
        <w:pStyle w:val="Paragraphedeliste"/>
        <w:numPr>
          <w:ilvl w:val="0"/>
          <w:numId w:val="2"/>
        </w:numPr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="00EE26EE" w:rsidRPr="00B73DDE">
        <w:rPr>
          <w:rStyle w:val="Lienhypertexte"/>
          <w:color w:val="0279BD"/>
        </w:rPr>
        <w:t>Obligation</w:t>
      </w:r>
      <w:r w:rsidR="009E50CB" w:rsidRPr="00B73DDE">
        <w:rPr>
          <w:rStyle w:val="Lienhypertexte"/>
          <w:color w:val="0279BD"/>
        </w:rPr>
        <w:t>s</w:t>
      </w:r>
      <w:r w:rsidR="00EE26EE" w:rsidRPr="00B73DDE">
        <w:rPr>
          <w:rStyle w:val="Lienhypertexte"/>
          <w:color w:val="0279BD"/>
        </w:rPr>
        <w:t xml:space="preserve"> juridiques des organismes à l’égard des personnes ayant une limitation fonctionnelle, Formation AlterGo </w:t>
      </w:r>
    </w:p>
    <w:p w:rsidR="008C0195" w:rsidRPr="008C0195" w:rsidRDefault="008C0195" w:rsidP="00B73DDE">
      <w:pPr>
        <w:pStyle w:val="Paragraphedeliste"/>
        <w:ind w:left="709"/>
        <w:contextualSpacing w:val="0"/>
        <w:rPr>
          <w:rStyle w:val="Lienhypertexte"/>
          <w:color w:val="auto"/>
          <w:u w:val="none"/>
        </w:rPr>
      </w:pPr>
      <w:r w:rsidRPr="008C0195">
        <w:rPr>
          <w:rStyle w:val="Lienhypertexte"/>
          <w:color w:val="auto"/>
          <w:u w:val="none"/>
        </w:rPr>
        <w:t>Disponible sur dem</w:t>
      </w:r>
      <w:r w:rsidR="00FD439A">
        <w:rPr>
          <w:rStyle w:val="Lienhypertexte"/>
          <w:color w:val="auto"/>
          <w:u w:val="none"/>
        </w:rPr>
        <w:t>ande : info@altergo</w:t>
      </w:r>
      <w:r w:rsidR="00397853">
        <w:rPr>
          <w:rStyle w:val="Lienhypertexte"/>
          <w:color w:val="auto"/>
          <w:u w:val="none"/>
        </w:rPr>
        <w:t>formation.com</w:t>
      </w:r>
    </w:p>
    <w:p w:rsidR="00DE5662" w:rsidRPr="0000737C" w:rsidRDefault="00DE5662" w:rsidP="002B5D37">
      <w:pPr>
        <w:pStyle w:val="Paragraphedeliste"/>
        <w:spacing w:after="240" w:line="276" w:lineRule="auto"/>
      </w:pPr>
    </w:p>
    <w:p w:rsidR="003B621C" w:rsidRPr="0000737C" w:rsidRDefault="00BB6A36" w:rsidP="008C12C9">
      <w:pPr>
        <w:pStyle w:val="Titre2"/>
      </w:pPr>
      <w:r w:rsidRPr="0000737C">
        <w:t xml:space="preserve">2. </w:t>
      </w:r>
      <w:r w:rsidR="00247503" w:rsidRPr="0000737C">
        <w:t>Pour favoriser la pa</w:t>
      </w:r>
      <w:r w:rsidR="00EE26EE" w:rsidRPr="0000737C">
        <w:t xml:space="preserve">rticipation des personnes ayant </w:t>
      </w:r>
      <w:r w:rsidR="00247503" w:rsidRPr="0000737C">
        <w:t xml:space="preserve">une limitation fonctionnelle dans votre </w:t>
      </w:r>
      <w:r w:rsidR="00B73DDE">
        <w:t>bibliothèque</w:t>
      </w:r>
      <w:r w:rsidR="00247503" w:rsidRPr="0000737C">
        <w:t xml:space="preserve">   </w:t>
      </w:r>
    </w:p>
    <w:p w:rsidR="003B621C" w:rsidRPr="0000737C" w:rsidRDefault="003B621C" w:rsidP="003B621C">
      <w:pPr>
        <w:spacing w:line="276" w:lineRule="auto"/>
      </w:pPr>
    </w:p>
    <w:p w:rsidR="0014134D" w:rsidRPr="0000737C" w:rsidRDefault="00F05689" w:rsidP="0014134D">
      <w:pPr>
        <w:pStyle w:val="Paragraphedeliste"/>
        <w:numPr>
          <w:ilvl w:val="0"/>
          <w:numId w:val="10"/>
        </w:numPr>
        <w:spacing w:after="100" w:afterAutospacing="1" w:line="276" w:lineRule="auto"/>
        <w:ind w:left="709"/>
        <w:rPr>
          <w:rStyle w:val="Lienhypertexte"/>
          <w:color w:val="0279BD"/>
        </w:rPr>
      </w:pPr>
      <w:hyperlink r:id="rId12" w:history="1">
        <w:r w:rsidR="0014134D" w:rsidRPr="00D60E80">
          <w:rPr>
            <w:rStyle w:val="Lienhypertexte"/>
            <w:color w:val="0279BD"/>
          </w:rPr>
          <w:t>Biblio-courrier</w:t>
        </w:r>
      </w:hyperlink>
    </w:p>
    <w:p w:rsidR="0014134D" w:rsidRDefault="006D23F5" w:rsidP="0014134D">
      <w:pPr>
        <w:pStyle w:val="Paragraphedeliste"/>
        <w:spacing w:line="276" w:lineRule="auto"/>
        <w:rPr>
          <w:rFonts w:cs="Arial"/>
        </w:rPr>
      </w:pPr>
      <w:r>
        <w:rPr>
          <w:rFonts w:cs="Arial"/>
        </w:rPr>
        <w:t>S</w:t>
      </w:r>
      <w:r w:rsidRPr="006D23F5">
        <w:rPr>
          <w:rFonts w:cs="Arial"/>
        </w:rPr>
        <w:t xml:space="preserve">ervice de prêts de documents à domicile offert gratuitement par </w:t>
      </w:r>
      <w:r>
        <w:rPr>
          <w:rFonts w:cs="Arial"/>
        </w:rPr>
        <w:t xml:space="preserve">plusieurs </w:t>
      </w:r>
      <w:r w:rsidRPr="006D23F5">
        <w:rPr>
          <w:rFonts w:cs="Arial"/>
        </w:rPr>
        <w:t>Bibliothèques de Montréal. Traditionn</w:t>
      </w:r>
      <w:r>
        <w:rPr>
          <w:rFonts w:cs="Arial"/>
        </w:rPr>
        <w:t>ellement offert aux personnes aî</w:t>
      </w:r>
      <w:r w:rsidRPr="006D23F5">
        <w:rPr>
          <w:rFonts w:cs="Arial"/>
        </w:rPr>
        <w:t>nées sur présentation d’un billet du médecin, il est maintenant disponible pour les membres des organismes membres d’AlterGo sans cert</w:t>
      </w:r>
      <w:r>
        <w:rPr>
          <w:rFonts w:cs="Arial"/>
        </w:rPr>
        <w:t xml:space="preserve">ificat médical et peu importe leur </w:t>
      </w:r>
      <w:r w:rsidRPr="006D23F5">
        <w:rPr>
          <w:rFonts w:cs="Arial"/>
        </w:rPr>
        <w:t>âge.</w:t>
      </w:r>
    </w:p>
    <w:p w:rsidR="0014134D" w:rsidRDefault="0014134D" w:rsidP="0014134D">
      <w:pPr>
        <w:pStyle w:val="Paragraphedeliste"/>
        <w:spacing w:line="276" w:lineRule="auto"/>
        <w:ind w:left="709"/>
        <w:rPr>
          <w:rStyle w:val="Lienhypertexte"/>
          <w:color w:val="0279BD"/>
        </w:rPr>
      </w:pPr>
    </w:p>
    <w:p w:rsidR="0014134D" w:rsidRPr="00D6515F" w:rsidRDefault="00D6515F" w:rsidP="0014134D">
      <w:pPr>
        <w:pStyle w:val="Paragraphedeliste"/>
        <w:numPr>
          <w:ilvl w:val="0"/>
          <w:numId w:val="10"/>
        </w:numPr>
        <w:spacing w:after="100" w:afterAutospacing="1" w:line="276" w:lineRule="auto"/>
        <w:ind w:left="709"/>
        <w:rPr>
          <w:rStyle w:val="Lienhypertexte"/>
          <w:color w:val="0279BD"/>
        </w:rPr>
      </w:pPr>
      <w:r>
        <w:rPr>
          <w:rStyle w:val="Lienhypertexte"/>
          <w:color w:val="0279BD"/>
        </w:rPr>
        <w:fldChar w:fldCharType="begin"/>
      </w:r>
      <w:r>
        <w:rPr>
          <w:rStyle w:val="Lienhypertexte"/>
          <w:color w:val="0279BD"/>
        </w:rPr>
        <w:instrText xml:space="preserve"> HYPERLINK "http://altergo.ca/sites/default/files/documents/documents/guide_de_preparation_visite_biblio_2013.pdf" </w:instrText>
      </w:r>
      <w:r>
        <w:rPr>
          <w:rStyle w:val="Lienhypertexte"/>
          <w:color w:val="0279BD"/>
        </w:rPr>
        <w:fldChar w:fldCharType="separate"/>
      </w:r>
      <w:r w:rsidR="0014134D" w:rsidRPr="00D6515F">
        <w:rPr>
          <w:rStyle w:val="Lienhypertexte"/>
          <w:color w:val="0279BD"/>
        </w:rPr>
        <w:t>Guide de préparation à une visite d’un groupe dans les bibliothèques de Montréal</w:t>
      </w:r>
    </w:p>
    <w:p w:rsidR="0014134D" w:rsidRDefault="00D6515F" w:rsidP="00D6515F">
      <w:pPr>
        <w:pStyle w:val="Paragraphedeliste"/>
        <w:spacing w:after="100" w:afterAutospacing="1" w:line="276" w:lineRule="auto"/>
        <w:ind w:left="709"/>
      </w:pPr>
      <w:r>
        <w:rPr>
          <w:rStyle w:val="Lienhypertexte"/>
          <w:color w:val="0279BD"/>
        </w:rPr>
        <w:fldChar w:fldCharType="end"/>
      </w:r>
      <w:r w:rsidR="00C721DA" w:rsidRPr="00C721DA">
        <w:t>Ce guide a pour but de faciliter la visite en bibliothèque d’</w:t>
      </w:r>
      <w:r w:rsidR="0072512C">
        <w:t>un groupe de personnes ayant une limitation fonctionnelle</w:t>
      </w:r>
      <w:r w:rsidR="00C721DA" w:rsidRPr="00C721DA">
        <w:t>, pour un séjour agréable et profitable.</w:t>
      </w:r>
    </w:p>
    <w:p w:rsidR="007F79AC" w:rsidRDefault="007F79AC" w:rsidP="007F79AC">
      <w:pPr>
        <w:spacing w:line="276" w:lineRule="auto"/>
      </w:pPr>
    </w:p>
    <w:p w:rsidR="0014134D" w:rsidRPr="00B314AB" w:rsidRDefault="00F05689" w:rsidP="00B314AB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hyperlink r:id="rId13" w:history="1">
        <w:r w:rsidR="0014134D" w:rsidRPr="00B314AB">
          <w:rPr>
            <w:rStyle w:val="Lienhypertexte"/>
            <w:color w:val="0279BD"/>
          </w:rPr>
          <w:t>Matériel spécialisé pour améliorer l’accessibilité des bibliothèques, catalogue</w:t>
        </w:r>
      </w:hyperlink>
      <w:r w:rsidR="0014134D" w:rsidRPr="00B314AB">
        <w:rPr>
          <w:rStyle w:val="Lienhypertexte"/>
          <w:color w:val="0279BD"/>
        </w:rPr>
        <w:t xml:space="preserve"> </w:t>
      </w:r>
    </w:p>
    <w:p w:rsidR="0014134D" w:rsidRPr="0000737C" w:rsidRDefault="0014134D" w:rsidP="0014134D">
      <w:pPr>
        <w:pStyle w:val="Paragraphedeliste"/>
        <w:spacing w:line="276" w:lineRule="auto"/>
      </w:pPr>
      <w:r w:rsidRPr="0000737C">
        <w:t>Guide répertoriant</w:t>
      </w:r>
      <w:r w:rsidR="00DA0241">
        <w:t xml:space="preserve"> le</w:t>
      </w:r>
      <w:r w:rsidRPr="0000737C">
        <w:t xml:space="preserve"> matériel spécialisé disponible </w:t>
      </w:r>
      <w:r>
        <w:t>pour les bibliothèque</w:t>
      </w:r>
      <w:r w:rsidRPr="0000737C">
        <w:t xml:space="preserve">s et les références afin de vous le procurer.  </w:t>
      </w:r>
    </w:p>
    <w:p w:rsidR="0014134D" w:rsidRDefault="0014134D" w:rsidP="0014134D">
      <w:pPr>
        <w:pStyle w:val="Paragraphedeliste"/>
        <w:spacing w:line="276" w:lineRule="auto"/>
        <w:ind w:left="709"/>
        <w:rPr>
          <w:rStyle w:val="Lienhypertexte"/>
          <w:color w:val="0279BD"/>
        </w:rPr>
      </w:pPr>
    </w:p>
    <w:p w:rsidR="00E35FBF" w:rsidRPr="0000737C" w:rsidRDefault="0000737C" w:rsidP="00E35FBF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r>
        <w:rPr>
          <w:rStyle w:val="Lienhypertexte"/>
          <w:color w:val="0279BD"/>
        </w:rPr>
        <w:t>Mois de l’acce</w:t>
      </w:r>
      <w:r w:rsidR="00DA0241">
        <w:rPr>
          <w:rStyle w:val="Lienhypertexte"/>
          <w:color w:val="0279BD"/>
        </w:rPr>
        <w:t>ssibilité universelle dans les B</w:t>
      </w:r>
      <w:r>
        <w:rPr>
          <w:rStyle w:val="Lienhypertexte"/>
          <w:color w:val="0279BD"/>
        </w:rPr>
        <w:t>ibliothèques de Montréal</w:t>
      </w:r>
    </w:p>
    <w:p w:rsidR="00D60E80" w:rsidRDefault="00DA0241" w:rsidP="0000737C">
      <w:pPr>
        <w:pStyle w:val="Paragraphedeliste"/>
        <w:spacing w:line="276" w:lineRule="auto"/>
      </w:pPr>
      <w:r>
        <w:t>Chaque année, a</w:t>
      </w:r>
      <w:r w:rsidR="00D60E80" w:rsidRPr="00D60E80">
        <w:t>u cours du mois d'octobre, de</w:t>
      </w:r>
      <w:r w:rsidR="00D60E80">
        <w:t>s</w:t>
      </w:r>
      <w:r w:rsidR="00D60E80" w:rsidRPr="00D60E80">
        <w:t xml:space="preserve"> activités</w:t>
      </w:r>
      <w:r w:rsidR="00D60E80">
        <w:t xml:space="preserve"> gratuites</w:t>
      </w:r>
      <w:r w:rsidR="00D60E80" w:rsidRPr="00D60E80">
        <w:t xml:space="preserve"> sur le thème de l</w:t>
      </w:r>
      <w:r w:rsidR="00D60E80">
        <w:t>’accessibilité universelle sont offertes</w:t>
      </w:r>
      <w:r w:rsidR="00D60E80" w:rsidRPr="00D60E80">
        <w:t xml:space="preserve"> dans </w:t>
      </w:r>
      <w:r w:rsidR="00D60E80">
        <w:t>plusieurs</w:t>
      </w:r>
      <w:r w:rsidR="00D60E80" w:rsidRPr="00D60E80">
        <w:t xml:space="preserve"> bibliothèques de la Ville de Montréal.</w:t>
      </w:r>
    </w:p>
    <w:p w:rsidR="00247503" w:rsidRDefault="00D60E80" w:rsidP="0014134D">
      <w:pPr>
        <w:pStyle w:val="Paragraphedeliste"/>
        <w:spacing w:line="276" w:lineRule="auto"/>
      </w:pPr>
      <w:r>
        <w:t>Pour plus d’information</w:t>
      </w:r>
      <w:r w:rsidR="00E35FBF" w:rsidRPr="0000737C">
        <w:t> :</w:t>
      </w:r>
      <w:r w:rsidR="00E35FBF" w:rsidRPr="00DA0241">
        <w:t xml:space="preserve"> </w:t>
      </w:r>
      <w:hyperlink r:id="rId14" w:history="1">
        <w:r w:rsidR="0014134D" w:rsidRPr="00DA0241">
          <w:rPr>
            <w:rStyle w:val="Lienhypertexte"/>
            <w:color w:val="auto"/>
            <w:u w:val="none"/>
          </w:rPr>
          <w:t>info@altergo.ca</w:t>
        </w:r>
      </w:hyperlink>
    </w:p>
    <w:p w:rsidR="00C721DA" w:rsidRPr="0000737C" w:rsidRDefault="00C721DA" w:rsidP="007F79AC">
      <w:pPr>
        <w:spacing w:line="276" w:lineRule="auto"/>
      </w:pPr>
    </w:p>
    <w:p w:rsidR="00DE5662" w:rsidRPr="0000737C" w:rsidRDefault="00F05689" w:rsidP="00D60E80">
      <w:pPr>
        <w:pStyle w:val="Paragraphedeliste"/>
        <w:numPr>
          <w:ilvl w:val="0"/>
          <w:numId w:val="10"/>
        </w:numPr>
        <w:spacing w:after="100" w:afterAutospacing="1" w:line="276" w:lineRule="auto"/>
        <w:ind w:left="709"/>
        <w:rPr>
          <w:rStyle w:val="Lienhypertexte"/>
          <w:color w:val="0279BD"/>
        </w:rPr>
      </w:pPr>
      <w:hyperlink r:id="rId15" w:history="1">
        <w:r w:rsidR="00DE5662" w:rsidRPr="00D60E80">
          <w:rPr>
            <w:rStyle w:val="Lienhypertexte"/>
            <w:color w:val="0279BD"/>
          </w:rPr>
          <w:t>Pictogrammes</w:t>
        </w:r>
      </w:hyperlink>
    </w:p>
    <w:p w:rsidR="0014134D" w:rsidRDefault="00DE5662" w:rsidP="0014134D">
      <w:pPr>
        <w:pStyle w:val="Paragraphedeliste"/>
        <w:spacing w:after="240" w:line="276" w:lineRule="auto"/>
        <w:rPr>
          <w:rFonts w:cs="Arial"/>
        </w:rPr>
      </w:pPr>
      <w:r w:rsidRPr="0000737C">
        <w:rPr>
          <w:rFonts w:cs="Arial"/>
        </w:rPr>
        <w:t xml:space="preserve">Liste des pictogrammes à utiliser pour assurer l’uniformité des communications de la </w:t>
      </w:r>
      <w:r w:rsidR="00D60E80">
        <w:rPr>
          <w:rFonts w:cs="Arial"/>
        </w:rPr>
        <w:t>bibliothèque</w:t>
      </w:r>
      <w:r w:rsidRPr="0000737C">
        <w:rPr>
          <w:rFonts w:cs="Arial"/>
        </w:rPr>
        <w:t xml:space="preserve"> en matière d’accessibilité.  </w:t>
      </w:r>
    </w:p>
    <w:p w:rsidR="0014134D" w:rsidRPr="0014134D" w:rsidRDefault="0014134D" w:rsidP="0014134D">
      <w:pPr>
        <w:pStyle w:val="Paragraphedeliste"/>
        <w:spacing w:after="240" w:line="276" w:lineRule="auto"/>
        <w:rPr>
          <w:rFonts w:cs="Arial"/>
        </w:rPr>
      </w:pPr>
    </w:p>
    <w:p w:rsidR="007F79AC" w:rsidRPr="00B314AB" w:rsidRDefault="00F05689" w:rsidP="00B314AB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hyperlink r:id="rId16" w:history="1">
        <w:r w:rsidR="007F79AC" w:rsidRPr="00B314AB">
          <w:rPr>
            <w:rStyle w:val="Lienhypertexte"/>
            <w:color w:val="0279BD"/>
          </w:rPr>
          <w:t>Services destinés aux organismes membres d’AlterGo</w:t>
        </w:r>
      </w:hyperlink>
      <w:r w:rsidR="007F79AC" w:rsidRPr="00B314AB">
        <w:rPr>
          <w:rStyle w:val="Lienhypertexte"/>
          <w:color w:val="0279BD"/>
        </w:rPr>
        <w:t xml:space="preserve"> </w:t>
      </w:r>
    </w:p>
    <w:p w:rsidR="007F79AC" w:rsidRDefault="007F79AC" w:rsidP="007F79AC">
      <w:pPr>
        <w:pStyle w:val="Paragraphedeliste"/>
        <w:spacing w:line="276" w:lineRule="auto"/>
      </w:pPr>
      <w:r w:rsidRPr="00C721DA">
        <w:t>Les Bibliothèques de Montréal offrent différents services aux organismes montréalais. Ceux-ci visent à faciliter l’accès des citoyens aux ressources et aux services des bibliothèques.</w:t>
      </w:r>
    </w:p>
    <w:p w:rsidR="007F79AC" w:rsidRPr="007F79AC" w:rsidRDefault="007F79AC" w:rsidP="007F79AC">
      <w:pPr>
        <w:pStyle w:val="Paragraphedeliste"/>
        <w:spacing w:line="276" w:lineRule="auto"/>
      </w:pPr>
    </w:p>
    <w:p w:rsidR="00247503" w:rsidRPr="00BB6A36" w:rsidRDefault="00F05689" w:rsidP="00617988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hyperlink r:id="rId17" w:history="1">
        <w:r w:rsidR="00247503" w:rsidRPr="00BB6A36">
          <w:rPr>
            <w:rStyle w:val="Lienhypertexte"/>
            <w:color w:val="0279BD"/>
          </w:rPr>
          <w:t>Vignette d’accompagnement touristique et de loisir (VATL)</w:t>
        </w:r>
      </w:hyperlink>
    </w:p>
    <w:p w:rsidR="0043724A" w:rsidRDefault="00247503" w:rsidP="003B621C">
      <w:pPr>
        <w:pStyle w:val="Paragraphedeliste"/>
        <w:spacing w:line="276" w:lineRule="auto"/>
        <w:rPr>
          <w:rFonts w:cs="Arial"/>
        </w:rPr>
      </w:pPr>
      <w:r>
        <w:t>La VATL accorde la gratuité d’entrée à l’accompagnateur d’une personne âgée d’au moins 12 ans, ayant une limitation fonctionnelle et nécessitant l’aide d’un accompagnateur lors de la visite de sites touristiques, culturels et récréatifs participants. Vous y trouverez des informations, un formulaire pour y souscrire ainsi que le répertoire des organismes montréalais acceptant la VATL.</w:t>
      </w:r>
      <w:r w:rsidR="003B621C" w:rsidRPr="009F70CC">
        <w:rPr>
          <w:rFonts w:cs="Arial"/>
        </w:rPr>
        <w:t xml:space="preserve"> </w:t>
      </w:r>
    </w:p>
    <w:p w:rsidR="00E35FBF" w:rsidRPr="00617988" w:rsidRDefault="00E35FBF" w:rsidP="00617988">
      <w:pPr>
        <w:spacing w:line="276" w:lineRule="auto"/>
        <w:rPr>
          <w:rFonts w:cs="Arial"/>
        </w:rPr>
      </w:pPr>
    </w:p>
    <w:bookmarkEnd w:id="9"/>
    <w:bookmarkEnd w:id="10"/>
    <w:bookmarkEnd w:id="11"/>
    <w:bookmarkEnd w:id="12"/>
    <w:bookmarkEnd w:id="13"/>
    <w:bookmarkEnd w:id="14"/>
    <w:p w:rsidR="003B621C" w:rsidRDefault="009F70CC" w:rsidP="008C12C9">
      <w:pPr>
        <w:pStyle w:val="Titre2"/>
      </w:pPr>
      <w:r>
        <w:t>3</w:t>
      </w:r>
      <w:r w:rsidR="003B621C">
        <w:t xml:space="preserve">. Pour former votre personnel    </w:t>
      </w:r>
    </w:p>
    <w:p w:rsidR="003B621C" w:rsidRDefault="003B621C" w:rsidP="003B621C">
      <w:pPr>
        <w:pStyle w:val="Paragraphedeliste"/>
        <w:spacing w:line="276" w:lineRule="auto"/>
      </w:pPr>
    </w:p>
    <w:p w:rsidR="00AE2CB2" w:rsidRPr="002B5D37" w:rsidRDefault="00AE2CB2" w:rsidP="00AE2CB2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begin"/>
      </w:r>
      <w:r w:rsidR="0011625F">
        <w:rPr>
          <w:rStyle w:val="Lienhypertexte"/>
          <w:color w:val="0279BD"/>
        </w:rPr>
        <w:instrText>HYPERLINK "http://altergo.ca/fr/formation-altergo/formations"</w:instrText>
      </w:r>
      <w:r w:rsidRPr="002B5D37">
        <w:rPr>
          <w:rStyle w:val="Lienhypertexte"/>
          <w:color w:val="0279BD"/>
        </w:rPr>
        <w:fldChar w:fldCharType="separate"/>
      </w:r>
      <w:r w:rsidRPr="002B5D37">
        <w:rPr>
          <w:rStyle w:val="Lienhypertexte"/>
          <w:color w:val="0279BD"/>
        </w:rPr>
        <w:t>Formation</w:t>
      </w:r>
      <w:r w:rsidR="0011625F">
        <w:rPr>
          <w:rStyle w:val="Lienhypertexte"/>
          <w:color w:val="0279BD"/>
        </w:rPr>
        <w:t>s en</w:t>
      </w:r>
      <w:r w:rsidRPr="002B5D37">
        <w:rPr>
          <w:rStyle w:val="Lienhypertexte"/>
          <w:color w:val="0279BD"/>
        </w:rPr>
        <w:t xml:space="preserve"> </w:t>
      </w:r>
      <w:r w:rsidRPr="00AE2CB2">
        <w:rPr>
          <w:rStyle w:val="Lienhypertexte"/>
          <w:color w:val="0279BD"/>
        </w:rPr>
        <w:t xml:space="preserve">Accompagnement </w:t>
      </w:r>
      <w:r w:rsidR="0011625F">
        <w:rPr>
          <w:rStyle w:val="Lienhypertexte"/>
          <w:color w:val="0279BD"/>
        </w:rPr>
        <w:t xml:space="preserve">en </w:t>
      </w:r>
      <w:r w:rsidRPr="00AE2CB2">
        <w:rPr>
          <w:rStyle w:val="Lienhypertexte"/>
          <w:color w:val="0279BD"/>
        </w:rPr>
        <w:t xml:space="preserve">loisir </w:t>
      </w:r>
    </w:p>
    <w:p w:rsidR="0011625F" w:rsidRPr="0011625F" w:rsidRDefault="00AE2CB2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end"/>
      </w:r>
      <w:r w:rsidR="0011625F">
        <w:rPr>
          <w:rStyle w:val="Lienhypertexte"/>
          <w:color w:val="0279BD"/>
        </w:rPr>
        <w:fldChar w:fldCharType="begin"/>
      </w:r>
      <w:r w:rsidR="0011625F">
        <w:rPr>
          <w:rStyle w:val="Lienhypertexte"/>
          <w:color w:val="0279BD"/>
        </w:rPr>
        <w:instrText xml:space="preserve"> HYPERLINK "http://altergo.ca/fr/node/723" </w:instrText>
      </w:r>
      <w:r w:rsidR="0011625F">
        <w:rPr>
          <w:rStyle w:val="Lienhypertexte"/>
          <w:color w:val="0279BD"/>
        </w:rPr>
        <w:fldChar w:fldCharType="separate"/>
      </w:r>
      <w:r w:rsidR="0011625F" w:rsidRPr="0011625F">
        <w:rPr>
          <w:rStyle w:val="Lienhypertexte"/>
          <w:color w:val="0279BD"/>
        </w:rPr>
        <w:t>Accompagnement loisir des personnes ayant une limitation fonctionnelle</w:t>
      </w:r>
    </w:p>
    <w:p w:rsidR="0011625F" w:rsidRPr="0011625F" w:rsidRDefault="0011625F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>
        <w:rPr>
          <w:rStyle w:val="Lienhypertexte"/>
          <w:color w:val="0279BD"/>
        </w:rPr>
        <w:fldChar w:fldCharType="end"/>
      </w:r>
      <w:hyperlink r:id="rId18" w:history="1">
        <w:r w:rsidRPr="0011625F">
          <w:rPr>
            <w:rStyle w:val="Lienhypertexte"/>
            <w:color w:val="0279BD"/>
          </w:rPr>
          <w:t>Accompagnement loisir des personnes ayant un TSA</w:t>
        </w:r>
      </w:hyperlink>
    </w:p>
    <w:p w:rsidR="0011625F" w:rsidRPr="0011625F" w:rsidRDefault="00F05689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hyperlink r:id="rId19" w:history="1">
        <w:r w:rsidR="0011625F" w:rsidRPr="0011625F">
          <w:rPr>
            <w:rStyle w:val="Lienhypertexte"/>
            <w:color w:val="0279BD"/>
          </w:rPr>
          <w:t>Accompagnement loisir des personnes ayant un TDAH</w:t>
        </w:r>
      </w:hyperlink>
    </w:p>
    <w:p w:rsidR="0011625F" w:rsidRDefault="00F05689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hyperlink r:id="rId20" w:history="1">
        <w:r w:rsidR="0011625F" w:rsidRPr="0011625F">
          <w:rPr>
            <w:rStyle w:val="Lienhypertexte"/>
            <w:color w:val="0279BD"/>
          </w:rPr>
          <w:t>Accompagnement loisir des personnes ayant une déficience intellectuelle, un TSA ou un TDAH</w:t>
        </w:r>
      </w:hyperlink>
    </w:p>
    <w:p w:rsidR="0011625F" w:rsidRPr="0011625F" w:rsidRDefault="0011625F" w:rsidP="0011625F">
      <w:pPr>
        <w:pStyle w:val="Paragraphedeliste"/>
        <w:spacing w:after="240" w:line="276" w:lineRule="auto"/>
        <w:ind w:left="1560"/>
        <w:rPr>
          <w:color w:val="0279BD"/>
          <w:u w:val="single"/>
        </w:rPr>
      </w:pPr>
    </w:p>
    <w:p w:rsidR="003B621C" w:rsidRPr="0011625F" w:rsidRDefault="00BB6A36" w:rsidP="000F2C1B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begin"/>
      </w:r>
      <w:r w:rsidR="0074719E">
        <w:rPr>
          <w:rStyle w:val="Lienhypertexte"/>
          <w:color w:val="0279BD"/>
        </w:rPr>
        <w:instrText>HYPERLINK "http://altergo.ca/fr/formation-altergo/formations"</w:instrText>
      </w:r>
      <w:r w:rsidRPr="002B5D37">
        <w:rPr>
          <w:rStyle w:val="Lienhypertexte"/>
          <w:color w:val="0279BD"/>
        </w:rPr>
        <w:fldChar w:fldCharType="separate"/>
      </w:r>
      <w:r w:rsidR="003B621C" w:rsidRPr="0011625F">
        <w:rPr>
          <w:rStyle w:val="Lienhypertexte"/>
          <w:color w:val="0279BD"/>
        </w:rPr>
        <w:t>Formation</w:t>
      </w:r>
      <w:r w:rsidR="0011625F">
        <w:rPr>
          <w:rStyle w:val="Lienhypertexte"/>
          <w:color w:val="0279BD"/>
        </w:rPr>
        <w:t>s en</w:t>
      </w:r>
      <w:r w:rsidR="003B621C" w:rsidRPr="0011625F">
        <w:rPr>
          <w:rStyle w:val="Lienhypertexte"/>
          <w:color w:val="0279BD"/>
        </w:rPr>
        <w:t xml:space="preserve"> Accueil des personnes ayant une limitation fonctionnelle</w:t>
      </w:r>
      <w:r w:rsidR="0043099C" w:rsidRPr="0011625F">
        <w:rPr>
          <w:rStyle w:val="Lienhypertexte"/>
          <w:color w:val="0279BD"/>
        </w:rPr>
        <w:t xml:space="preserve"> </w:t>
      </w:r>
    </w:p>
    <w:p w:rsidR="003B621C" w:rsidRPr="000F2C1B" w:rsidRDefault="00BB6A36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end"/>
      </w:r>
      <w:hyperlink r:id="rId21" w:history="1">
        <w:r w:rsidR="0011625F" w:rsidRPr="000F2C1B">
          <w:rPr>
            <w:rStyle w:val="Lienhypertexte"/>
            <w:color w:val="0279BD"/>
          </w:rPr>
          <w:t>Accueil des personnes ayant une limitation fonctionnelle</w:t>
        </w:r>
      </w:hyperlink>
    </w:p>
    <w:p w:rsidR="0074719E" w:rsidRDefault="00F05689" w:rsidP="000F2C1B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hyperlink r:id="rId22" w:history="1">
        <w:r w:rsidR="0074719E" w:rsidRPr="000F2C1B">
          <w:rPr>
            <w:rStyle w:val="Lienhypertexte"/>
            <w:color w:val="0279BD"/>
          </w:rPr>
          <w:t>Accueil à la bibliothèque des personnes ayant une limitation fonctionnelle</w:t>
        </w:r>
      </w:hyperlink>
    </w:p>
    <w:p w:rsidR="003848FD" w:rsidRPr="003848FD" w:rsidRDefault="003848FD" w:rsidP="003848FD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auto"/>
          <w:u w:val="none"/>
        </w:rPr>
      </w:pPr>
      <w:r w:rsidRPr="003848FD">
        <w:rPr>
          <w:rStyle w:val="Lienhypertexte"/>
          <w:color w:val="auto"/>
          <w:u w:val="none"/>
        </w:rPr>
        <w:t>Accueil des personnes ayant une déficience intellectuelle, à venir en 2017</w:t>
      </w:r>
    </w:p>
    <w:p w:rsidR="001536E1" w:rsidRDefault="001536E1" w:rsidP="000F2C1B">
      <w:pPr>
        <w:pStyle w:val="Paragraphedeliste"/>
        <w:spacing w:after="240" w:line="276" w:lineRule="auto"/>
        <w:ind w:left="1440"/>
        <w:rPr>
          <w:rStyle w:val="Lienhypertexte"/>
          <w:color w:val="0279BD"/>
        </w:rPr>
      </w:pPr>
    </w:p>
    <w:p w:rsidR="003848FD" w:rsidRDefault="00F05689" w:rsidP="003848FD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23" w:history="1">
        <w:r w:rsidR="000F2C1B" w:rsidRPr="001536E1">
          <w:rPr>
            <w:rStyle w:val="Lienhypertexte"/>
            <w:color w:val="0279BD"/>
          </w:rPr>
          <w:t>Parle</w:t>
        </w:r>
      </w:hyperlink>
      <w:r w:rsidR="000F2C1B" w:rsidRPr="000F2C1B">
        <w:rPr>
          <w:rStyle w:val="Lienhypertexte"/>
          <w:color w:val="0279BD"/>
        </w:rPr>
        <w:t xml:space="preserve">-moi de toi! </w:t>
      </w:r>
    </w:p>
    <w:p w:rsidR="000F2C1B" w:rsidRPr="003848FD" w:rsidRDefault="000F2C1B" w:rsidP="003848FD">
      <w:pPr>
        <w:pStyle w:val="Paragraphedeliste"/>
        <w:spacing w:after="240" w:line="276" w:lineRule="auto"/>
        <w:rPr>
          <w:rStyle w:val="Lienhypertexte"/>
          <w:color w:val="0279BD"/>
        </w:rPr>
      </w:pPr>
      <w:r w:rsidRPr="003848FD">
        <w:rPr>
          <w:rStyle w:val="Lienhypertexte"/>
          <w:color w:val="auto"/>
          <w:u w:val="none"/>
        </w:rPr>
        <w:t>Formation AlterGo vous propose d'inviter, dans votre classe, une personne ayant une limitation fonctionnelle, afin de permettre à vos élèves d'échanger avec elle sur son quotidien.</w:t>
      </w:r>
    </w:p>
    <w:p w:rsidR="001536E1" w:rsidRPr="000F2C1B" w:rsidRDefault="001536E1" w:rsidP="000F2C1B">
      <w:pPr>
        <w:pStyle w:val="Paragraphedeliste"/>
        <w:spacing w:after="240" w:line="276" w:lineRule="auto"/>
        <w:ind w:left="1440"/>
        <w:rPr>
          <w:rStyle w:val="Lienhypertexte"/>
          <w:color w:val="auto"/>
          <w:u w:val="none"/>
        </w:rPr>
      </w:pPr>
    </w:p>
    <w:p w:rsidR="003B621C" w:rsidRDefault="009F70CC" w:rsidP="008C12C9">
      <w:pPr>
        <w:pStyle w:val="Titre2"/>
      </w:pPr>
      <w:r>
        <w:t>4</w:t>
      </w:r>
      <w:r w:rsidR="003B621C">
        <w:t xml:space="preserve">. Autres ressources </w:t>
      </w:r>
    </w:p>
    <w:p w:rsidR="003B621C" w:rsidRPr="00FD73D7" w:rsidRDefault="003B621C" w:rsidP="003B621C"/>
    <w:p w:rsidR="0043099C" w:rsidRDefault="00F05689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hyperlink r:id="rId24" w:history="1">
        <w:r w:rsidR="0043099C" w:rsidRPr="00DE5662">
          <w:rPr>
            <w:rStyle w:val="Lienhypertexte"/>
            <w:color w:val="0279BD"/>
          </w:rPr>
          <w:t>Suivez le guide ! Pour les organismes</w:t>
        </w:r>
      </w:hyperlink>
      <w:r w:rsidR="0043099C">
        <w:rPr>
          <w:rStyle w:val="Lienhypertexte"/>
          <w:color w:val="0279BD"/>
        </w:rPr>
        <w:t xml:space="preserve"> </w:t>
      </w:r>
    </w:p>
    <w:p w:rsidR="0043099C" w:rsidRDefault="009F70CC" w:rsidP="0043099C">
      <w:pPr>
        <w:pStyle w:val="Paragraphedeliste"/>
        <w:spacing w:line="276" w:lineRule="auto"/>
        <w:ind w:left="709"/>
      </w:pPr>
      <w:r>
        <w:t>Guide de référence ayant pour objectif d’orienter les responsables d’organismes vers des ressources qui leur permettront de favoriser l’inclusion de personnes ayant une limitation fonctionnelle dans leurs activités de loisirs.</w:t>
      </w:r>
    </w:p>
    <w:p w:rsidR="009F70CC" w:rsidRDefault="009F70CC" w:rsidP="0043099C">
      <w:pPr>
        <w:pStyle w:val="Paragraphedeliste"/>
        <w:spacing w:line="276" w:lineRule="auto"/>
        <w:ind w:left="709"/>
        <w:rPr>
          <w:rStyle w:val="Lienhypertexte"/>
          <w:color w:val="0279BD"/>
        </w:rPr>
      </w:pPr>
    </w:p>
    <w:p w:rsidR="003B621C" w:rsidRPr="00ED0B81" w:rsidRDefault="004E2833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r w:rsidRPr="00ED0B81">
        <w:rPr>
          <w:rStyle w:val="Lienhypertexte"/>
          <w:color w:val="0279BD"/>
        </w:rPr>
        <w:fldChar w:fldCharType="begin"/>
      </w:r>
      <w:r w:rsidRPr="00ED0B81">
        <w:rPr>
          <w:rStyle w:val="Lienhypertexte"/>
          <w:color w:val="0279BD"/>
        </w:rPr>
        <w:instrText xml:space="preserve"> HYPERLINK "http://altergo.ca/sites/default/files/documents/suivezleguide2016_accessible_interactif_0.pdf" </w:instrText>
      </w:r>
      <w:r w:rsidRPr="00ED0B81">
        <w:rPr>
          <w:rStyle w:val="Lienhypertexte"/>
          <w:color w:val="0279BD"/>
        </w:rPr>
        <w:fldChar w:fldCharType="separate"/>
      </w:r>
      <w:r w:rsidR="003B621C" w:rsidRPr="00ED0B81">
        <w:rPr>
          <w:rStyle w:val="Lienhypertexte"/>
          <w:color w:val="0279BD"/>
        </w:rPr>
        <w:t>Suivez le guide! Le guide de loisirs montréalais pour les personnes ayant une limitation fonctionnelle</w:t>
      </w:r>
    </w:p>
    <w:p w:rsidR="00E35FBF" w:rsidRDefault="004E2833" w:rsidP="0014134D">
      <w:pPr>
        <w:pStyle w:val="Paragraphedeliste"/>
        <w:spacing w:line="276" w:lineRule="auto"/>
        <w:ind w:left="709"/>
      </w:pPr>
      <w:r w:rsidRPr="00ED0B81">
        <w:rPr>
          <w:rStyle w:val="Lienhypertexte"/>
          <w:color w:val="0279BD"/>
        </w:rPr>
        <w:fldChar w:fldCharType="end"/>
      </w:r>
      <w:r w:rsidR="009F70CC">
        <w:t>Guide de référence permettant aux personnes ayant une limitation fonctionnelle de connaitre les services leur étant offerts.</w:t>
      </w:r>
    </w:p>
    <w:p w:rsidR="0014134D" w:rsidRPr="0014134D" w:rsidRDefault="0014134D" w:rsidP="0014134D">
      <w:pPr>
        <w:pStyle w:val="Paragraphedeliste"/>
        <w:spacing w:line="276" w:lineRule="auto"/>
        <w:ind w:left="709"/>
      </w:pPr>
    </w:p>
    <w:p w:rsidR="0014134D" w:rsidRPr="00617988" w:rsidRDefault="00F05689" w:rsidP="0014134D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hyperlink r:id="rId25" w:history="1">
        <w:r w:rsidR="0014134D" w:rsidRPr="00617988">
          <w:rPr>
            <w:rStyle w:val="Lienhypertexte"/>
            <w:color w:val="0279BD"/>
          </w:rPr>
          <w:t>GoQuiz</w:t>
        </w:r>
      </w:hyperlink>
    </w:p>
    <w:p w:rsidR="0014134D" w:rsidRDefault="0014134D" w:rsidP="0014134D">
      <w:pPr>
        <w:pStyle w:val="Paragraphedeliste"/>
        <w:spacing w:line="276" w:lineRule="auto"/>
        <w:ind w:left="709"/>
        <w:rPr>
          <w:rFonts w:cs="Arial"/>
        </w:rPr>
      </w:pPr>
      <w:r w:rsidRPr="00617988">
        <w:rPr>
          <w:rFonts w:cs="Arial"/>
        </w:rPr>
        <w:t>Jeu de devinettes d</w:t>
      </w:r>
      <w:r>
        <w:rPr>
          <w:rFonts w:cs="Arial"/>
        </w:rPr>
        <w:t xml:space="preserve">éveloppé par AlterGo qui </w:t>
      </w:r>
      <w:r w:rsidRPr="00617988">
        <w:rPr>
          <w:rFonts w:cs="Arial"/>
        </w:rPr>
        <w:t>a pour but de permettre aux petits comme aux grands d’élargir leurs connaissances sur l’accessibilité universelle et d’en découvrir les divers aspects.</w:t>
      </w: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273C3A" w:rsidRDefault="00273C3A" w:rsidP="003B621C">
      <w:pPr>
        <w:spacing w:line="276" w:lineRule="auto"/>
        <w:rPr>
          <w:rFonts w:cs="Arial"/>
          <w:b/>
          <w:sz w:val="44"/>
          <w:szCs w:val="28"/>
        </w:rPr>
      </w:pPr>
    </w:p>
    <w:p w:rsidR="00C721DA" w:rsidRDefault="00C721DA" w:rsidP="003B621C">
      <w:pPr>
        <w:spacing w:line="276" w:lineRule="auto"/>
        <w:rPr>
          <w:rFonts w:cs="Arial"/>
          <w:b/>
          <w:sz w:val="44"/>
          <w:szCs w:val="28"/>
        </w:rPr>
      </w:pPr>
    </w:p>
    <w:p w:rsidR="003848FD" w:rsidRDefault="003848FD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1536E1" w:rsidRDefault="001536E1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3B621C" w:rsidRPr="007703C0" w:rsidRDefault="00E35FBF" w:rsidP="003B621C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</w:t>
      </w:r>
      <w:r w:rsidR="003B621C">
        <w:rPr>
          <w:rFonts w:cs="Arial"/>
          <w:b/>
          <w:sz w:val="44"/>
          <w:szCs w:val="28"/>
        </w:rPr>
        <w:t>ormation AlterGo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H3J 2B4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 xml:space="preserve"> 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514-933-2739</w:t>
      </w:r>
    </w:p>
    <w:p w:rsidR="003B621C" w:rsidRPr="003829D0" w:rsidRDefault="00F05689" w:rsidP="003B621C">
      <w:pPr>
        <w:spacing w:line="276" w:lineRule="auto"/>
        <w:rPr>
          <w:rFonts w:cs="Arial"/>
          <w:sz w:val="28"/>
          <w:szCs w:val="28"/>
        </w:rPr>
      </w:pPr>
      <w:hyperlink r:id="rId26" w:history="1">
        <w:r w:rsidR="003B621C" w:rsidRPr="003829D0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3B621C" w:rsidRPr="008C0195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8C0195">
        <w:rPr>
          <w:rFonts w:cs="Arial"/>
          <w:sz w:val="28"/>
          <w:szCs w:val="28"/>
        </w:rPr>
        <w:t>info@altergoformation.com</w:t>
      </w:r>
    </w:p>
    <w:p w:rsidR="003B621C" w:rsidRPr="008C0195" w:rsidRDefault="003B621C" w:rsidP="003B621C">
      <w:pPr>
        <w:spacing w:line="276" w:lineRule="auto"/>
        <w:rPr>
          <w:rFonts w:cs="Arial"/>
        </w:rPr>
      </w:pPr>
    </w:p>
    <w:p w:rsidR="003B621C" w:rsidRPr="008C0195" w:rsidRDefault="003B621C" w:rsidP="003B621C">
      <w:pPr>
        <w:spacing w:line="276" w:lineRule="auto"/>
        <w:rPr>
          <w:rFonts w:cs="Arial"/>
        </w:rPr>
      </w:pPr>
    </w:p>
    <w:p w:rsidR="003B621C" w:rsidRPr="00901373" w:rsidRDefault="003B621C" w:rsidP="003B621C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914F87" wp14:editId="21A4C689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7" w:rsidRDefault="00AA2967"/>
    <w:sectPr w:rsidR="00AA2967" w:rsidSect="003A327B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89" w:rsidRDefault="00F05689" w:rsidP="00E30D4B">
      <w:r>
        <w:separator/>
      </w:r>
    </w:p>
  </w:endnote>
  <w:endnote w:type="continuationSeparator" w:id="0">
    <w:p w:rsidR="00F05689" w:rsidRDefault="00F05689" w:rsidP="00E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4F5456" w:rsidRDefault="00BB6A36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9284764" wp14:editId="4947A8A9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E335C" wp14:editId="6AA533B3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7C" w:rsidRPr="005F0329" w:rsidRDefault="00BB6A36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4C1107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9" type="#_x0000_t202" style="position:absolute;margin-left:299.15pt;margin-top:9.55pt;width:11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12087C" w:rsidRPr="005F0329" w:rsidRDefault="00BB6A36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4C1107">
                      <w:rPr>
                        <w:rFonts w:cs="Arial"/>
                        <w:noProof/>
                        <w:color w:val="000000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087C" w:rsidRPr="00A042AC" w:rsidRDefault="00F05689" w:rsidP="003A327B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48FD">
          <w:t>Formation AlterGo, automne 2016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BA426C" wp14:editId="7592DEA8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89" w:rsidRDefault="00F05689" w:rsidP="00E30D4B">
      <w:r>
        <w:separator/>
      </w:r>
    </w:p>
  </w:footnote>
  <w:footnote w:type="continuationSeparator" w:id="0">
    <w:p w:rsidR="00F05689" w:rsidRDefault="00F05689" w:rsidP="00E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 w:rsidP="003A32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087C" w:rsidRDefault="00F05689" w:rsidP="003A327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F05689" w:rsidP="003A327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EF7AD9" w:rsidRDefault="00BB6A36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54C4BBC" wp14:editId="6B025099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AED99" wp14:editId="33D9F5B4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BC2D" wp14:editId="4946F69E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FF74C" wp14:editId="5C6EE7AA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12087C" w:rsidRPr="00EF7AD9" w:rsidRDefault="00F05689">
    <w:pPr>
      <w:pStyle w:val="En-tte"/>
      <w:rPr>
        <w:rFonts w:cs="Arial"/>
        <w:color w:val="102B95"/>
        <w:sz w:val="18"/>
      </w:rPr>
    </w:pPr>
  </w:p>
  <w:p w:rsidR="0012087C" w:rsidRPr="00DC5A35" w:rsidRDefault="00F05689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83"/>
    <w:multiLevelType w:val="hybridMultilevel"/>
    <w:tmpl w:val="8ADC88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4822"/>
    <w:multiLevelType w:val="hybridMultilevel"/>
    <w:tmpl w:val="16A2A9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C6483"/>
    <w:multiLevelType w:val="hybridMultilevel"/>
    <w:tmpl w:val="74F67706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121F2"/>
    <w:multiLevelType w:val="hybridMultilevel"/>
    <w:tmpl w:val="1E1452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145BC"/>
    <w:multiLevelType w:val="hybridMultilevel"/>
    <w:tmpl w:val="0FA22E90"/>
    <w:lvl w:ilvl="0" w:tplc="D280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01AF"/>
    <w:multiLevelType w:val="hybridMultilevel"/>
    <w:tmpl w:val="B388FA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4A75"/>
    <w:multiLevelType w:val="hybridMultilevel"/>
    <w:tmpl w:val="0C8A62AC"/>
    <w:lvl w:ilvl="0" w:tplc="D280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9640F"/>
    <w:multiLevelType w:val="hybridMultilevel"/>
    <w:tmpl w:val="E08605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57BB3"/>
    <w:multiLevelType w:val="hybridMultilevel"/>
    <w:tmpl w:val="0358B4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C5008"/>
    <w:multiLevelType w:val="hybridMultilevel"/>
    <w:tmpl w:val="2DC8DFC0"/>
    <w:lvl w:ilvl="0" w:tplc="0C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F4630D"/>
    <w:multiLevelType w:val="hybridMultilevel"/>
    <w:tmpl w:val="6B5AF6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022F4F"/>
    <w:multiLevelType w:val="hybridMultilevel"/>
    <w:tmpl w:val="3502FB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C"/>
    <w:rsid w:val="0000737C"/>
    <w:rsid w:val="00072651"/>
    <w:rsid w:val="000F2C1B"/>
    <w:rsid w:val="0011625F"/>
    <w:rsid w:val="0014134D"/>
    <w:rsid w:val="001536E1"/>
    <w:rsid w:val="00165892"/>
    <w:rsid w:val="00193654"/>
    <w:rsid w:val="001B7BF9"/>
    <w:rsid w:val="00247503"/>
    <w:rsid w:val="00273C3A"/>
    <w:rsid w:val="002B5D37"/>
    <w:rsid w:val="003808C2"/>
    <w:rsid w:val="003848FD"/>
    <w:rsid w:val="00397853"/>
    <w:rsid w:val="003B621C"/>
    <w:rsid w:val="003F62F2"/>
    <w:rsid w:val="0043099C"/>
    <w:rsid w:val="0043724A"/>
    <w:rsid w:val="004C1107"/>
    <w:rsid w:val="004E2833"/>
    <w:rsid w:val="004F6CFD"/>
    <w:rsid w:val="00525FD7"/>
    <w:rsid w:val="00571514"/>
    <w:rsid w:val="00617988"/>
    <w:rsid w:val="006A235E"/>
    <w:rsid w:val="006D23F5"/>
    <w:rsid w:val="007215CE"/>
    <w:rsid w:val="0072512C"/>
    <w:rsid w:val="0074719E"/>
    <w:rsid w:val="00760C9E"/>
    <w:rsid w:val="007F79AC"/>
    <w:rsid w:val="008965A0"/>
    <w:rsid w:val="008C0195"/>
    <w:rsid w:val="008C12C9"/>
    <w:rsid w:val="008E2964"/>
    <w:rsid w:val="008F64B8"/>
    <w:rsid w:val="0093024F"/>
    <w:rsid w:val="009B11BF"/>
    <w:rsid w:val="009D37D6"/>
    <w:rsid w:val="009E50CB"/>
    <w:rsid w:val="009F6677"/>
    <w:rsid w:val="009F70CC"/>
    <w:rsid w:val="00AA1ED3"/>
    <w:rsid w:val="00AA2967"/>
    <w:rsid w:val="00AD5349"/>
    <w:rsid w:val="00AE2CB2"/>
    <w:rsid w:val="00B314AB"/>
    <w:rsid w:val="00B73DDE"/>
    <w:rsid w:val="00BB6A36"/>
    <w:rsid w:val="00C721DA"/>
    <w:rsid w:val="00D2082C"/>
    <w:rsid w:val="00D60E80"/>
    <w:rsid w:val="00D6515F"/>
    <w:rsid w:val="00D935C8"/>
    <w:rsid w:val="00DA0241"/>
    <w:rsid w:val="00DE5662"/>
    <w:rsid w:val="00E30D4B"/>
    <w:rsid w:val="00E35FBF"/>
    <w:rsid w:val="00E53C0A"/>
    <w:rsid w:val="00E9224D"/>
    <w:rsid w:val="00ED0B81"/>
    <w:rsid w:val="00ED4143"/>
    <w:rsid w:val="00EE26EE"/>
    <w:rsid w:val="00F05689"/>
    <w:rsid w:val="00F415EC"/>
    <w:rsid w:val="00F44F22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ergo.ca/fr/ressources/publications" TargetMode="External"/><Relationship Id="rId18" Type="http://schemas.openxmlformats.org/officeDocument/2006/relationships/hyperlink" Target="http://altergo.ca/fr/node/722" TargetMode="External"/><Relationship Id="rId26" Type="http://schemas.openxmlformats.org/officeDocument/2006/relationships/hyperlink" Target="http://www.altergo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ergo.ca/fr/node/72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cyclo.bibliomontreal.com/biblio-courrier/" TargetMode="External"/><Relationship Id="rId17" Type="http://schemas.openxmlformats.org/officeDocument/2006/relationships/hyperlink" Target="http://www.altergo.ca/fr/programmes/soutien-financier/vignette-daccompagnement-touristique-et-de-loisir-vatl" TargetMode="External"/><Relationship Id="rId25" Type="http://schemas.openxmlformats.org/officeDocument/2006/relationships/hyperlink" Target="http://www.altergo.ca/fr/ressources/publication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ltergo.ca/fr/ressources/publications" TargetMode="External"/><Relationship Id="rId20" Type="http://schemas.openxmlformats.org/officeDocument/2006/relationships/hyperlink" Target="http://altergo.ca/fr/node/736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hq.gouv.qc.ca/fileadmin/documents/Politique_a_part_entiere_Acc.pdf" TargetMode="External"/><Relationship Id="rId24" Type="http://schemas.openxmlformats.org/officeDocument/2006/relationships/hyperlink" Target="http://altergo.ca/sites/default/files/documents/images/suivezleguide2016_organismes_interactif.pd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ltergo.ca/fr/ressources/publications" TargetMode="External"/><Relationship Id="rId23" Type="http://schemas.openxmlformats.org/officeDocument/2006/relationships/hyperlink" Target="http://altergo.ca/fr/node/737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http://altergo.ca/fr/node/7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arah@altergo.ca" TargetMode="External"/><Relationship Id="rId14" Type="http://schemas.openxmlformats.org/officeDocument/2006/relationships/hyperlink" Target="mailto:info@altergo.ca" TargetMode="External"/><Relationship Id="rId22" Type="http://schemas.openxmlformats.org/officeDocument/2006/relationships/hyperlink" Target="http://altergo.ca/fr/node/725" TargetMode="External"/><Relationship Id="rId27" Type="http://schemas.openxmlformats.org/officeDocument/2006/relationships/image" Target="media/image2.jpe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69A-B6D1-4AC4-AAB2-C7CE43C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automne 2016</dc:creator>
  <cp:lastModifiedBy>Aurélie Leclerc</cp:lastModifiedBy>
  <cp:revision>2</cp:revision>
  <dcterms:created xsi:type="dcterms:W3CDTF">2016-11-24T13:16:00Z</dcterms:created>
  <dcterms:modified xsi:type="dcterms:W3CDTF">2016-11-24T13:16:00Z</dcterms:modified>
</cp:coreProperties>
</file>