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8A" w:rsidRDefault="0099399A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-661670</wp:posOffset>
            </wp:positionV>
            <wp:extent cx="4228465" cy="2035175"/>
            <wp:effectExtent l="19050" t="0" r="635" b="0"/>
            <wp:wrapNone/>
            <wp:docPr id="2" name="Image 2" descr="biblio_AU_vis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_AU_visu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68A" w:rsidRDefault="002D168A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2D168A" w:rsidRDefault="002D168A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2D168A" w:rsidRDefault="002D168A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2D168A" w:rsidRDefault="002D168A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2D168A" w:rsidRDefault="002D168A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2D168A" w:rsidRDefault="002D168A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Guide de préparation à une visite d’un groupe dans les bibliothèques de Montréal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Ce guide a pour but de faciliter la visite en bibliothèque d’un groupe de personnes ayant des limitations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fonctionnelles, pour un séjour agréable et profitable.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1. Bien s’informer avant le départ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Une visite sur le site bibliomontreal.com ou un appel au 311 permet de connaitre les heures d’ouverture,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 xml:space="preserve">ainsi que les coordonnées de la bibliothèque à visiter. 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447B4">
        <w:rPr>
          <w:rFonts w:ascii="Arial" w:hAnsi="Arial" w:cs="Arial"/>
        </w:rPr>
        <w:t>ur le site web, les bibliothèques sont classées par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arrondissement.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2. Vérifier l’accessibilité physique des lieux</w:t>
      </w:r>
    </w:p>
    <w:p w:rsidR="006447B4" w:rsidRPr="006447B4" w:rsidRDefault="006447B4" w:rsidP="008B23C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Avant de déplacer un groupe, il peut être utile de valider l’accessibilité de certains services tels que :</w:t>
      </w:r>
    </w:p>
    <w:p w:rsidR="006447B4" w:rsidRPr="006447B4" w:rsidRDefault="006447B4" w:rsidP="008B23C5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Stationnement réservé</w:t>
      </w:r>
    </w:p>
    <w:p w:rsidR="006447B4" w:rsidRPr="006447B4" w:rsidRDefault="006447B4" w:rsidP="008B23C5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Débarcadère pour le transport adapté</w:t>
      </w:r>
    </w:p>
    <w:p w:rsidR="006447B4" w:rsidRPr="006447B4" w:rsidRDefault="006447B4" w:rsidP="008B23C5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Rampe d’accès</w:t>
      </w:r>
    </w:p>
    <w:p w:rsidR="006447B4" w:rsidRPr="006447B4" w:rsidRDefault="006447B4" w:rsidP="008B23C5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Ascenseur</w:t>
      </w:r>
    </w:p>
    <w:p w:rsidR="006447B4" w:rsidRDefault="006447B4" w:rsidP="008B23C5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Toilettes accessibles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3. Informer la bibliothèque de sa visite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Il est préférable d’informer à l’avance la bibliothèque de la journée et de l’heure de la visite du groupe.</w:t>
      </w:r>
    </w:p>
    <w:p w:rsidR="00606E62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Pour les groupes de 10 personnes et plus, il est nécessaire d’effectuer une réservation de manière à ne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pas entrer en conflit avec une activité déjà prévue. Il est également souhaitable de réserver une salle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lorsque les installations de la</w:t>
      </w:r>
    </w:p>
    <w:p w:rsidR="006447B4" w:rsidRDefault="00606E62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447B4" w:rsidRPr="006447B4">
        <w:rPr>
          <w:rFonts w:ascii="Arial" w:hAnsi="Arial" w:cs="Arial"/>
        </w:rPr>
        <w:lastRenderedPageBreak/>
        <w:t xml:space="preserve"> bibliothèque le permettent. Les groupes doivent prendre rendez-vous s’ils</w:t>
      </w:r>
      <w:r w:rsidR="006447B4">
        <w:rPr>
          <w:rFonts w:ascii="Arial" w:hAnsi="Arial" w:cs="Arial"/>
        </w:rPr>
        <w:t xml:space="preserve"> </w:t>
      </w:r>
      <w:r w:rsidR="006447B4" w:rsidRPr="006447B4">
        <w:rPr>
          <w:rFonts w:ascii="Arial" w:hAnsi="Arial" w:cs="Arial"/>
        </w:rPr>
        <w:t>désirent une initiation à la bibliothèque ou s’ils ont besoin d’assistance.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a) Voici les informations pertinentes à transmettre à la bibliothèque :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L’heure d’arrivée du groupe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Les activités prévues et si possible, l’heure à laquelle elles se tiendront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La liste des usagers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Le groupe d’âge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L’heure de départ du groupe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b) Se renseignez auprès du personnel de la bibliothèque de la disponibilité de :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la salle de repos ou d’activité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postes d’ordinateurs adaptés et de leur nombre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matériel spécialisé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jeux et de jouets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livres électroniques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personnel pour effectuer plusieurs abonnements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Il est très important de préparer le groupe aux activités prévues et de les informer du fonctionnement des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bibliothèques.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4. Visiter la bibliothèque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Il est possible d’effectuer une visite accompagnée de la bibliothèque. La visite :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permet de s’abonner,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permet d’explorer tous les services,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est réalisée en fonction des besoins de la clientèle,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peut se faire sous forme de rallye découverte,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a une durée de 30 à 45 minutes.</w:t>
      </w:r>
    </w:p>
    <w:p w:rsidR="006447B4" w:rsidRPr="006447B4" w:rsidRDefault="00606E62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6447B4" w:rsidRPr="006447B4">
        <w:rPr>
          <w:rFonts w:ascii="Arial" w:hAnsi="Arial" w:cs="Arial"/>
          <w:b/>
          <w:bCs/>
        </w:rPr>
        <w:lastRenderedPageBreak/>
        <w:t>5. S’abonner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Pour s’abonner à la bibliothèque, il est nécessaire de présenter une pièce d’identité avec photo, ainsi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qu’une preuve de résidence. Voici une liste de quelques documents acceptés :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a) Pièce d’identité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Carte d’assurance maladie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Permis de conduire valide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Carte Accès Montréal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Acte de naissance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Carte d’étudiant avec photo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b) Preuve de résidence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Permis de conduire valide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Compte récent de service public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Document officiel d’une institution bancaire ou de crédit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Attestation d’inscription à un cours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Relevé de compte de banque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6. Emprunter des documents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Un usager peut emprunter jusqu’à un maximum de 40 documents dans l’ensemble des bibliothèques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de Montréal, sans excéder dix DVD/Blu-ray.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La possibilité d’emprunt de jeux vidéo varie selon les bibliothèques.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Certaines bibliothèques limitent le nombre total d’emprunts locaux. Il est suggéré de s’informer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auprès de sa bibliothèque d’usage pour en connaitre les politiques spécifiques.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Le prêt est d’une durée de 21 jours. Les DVD uniques, Blu-ray et jeux vidéo sont prêtés pour 7 jours.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7. Emprunter plus longtemps en été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Le prêt d’été est offert dans toutes les bibliothèques. De façon générale, il s’étend du premier jour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du mois de juin au lundi de la Fête du Travail inclusivement. Comme pour le prêt régulier, on ne peut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emprunter plus de 40 documents à la fois, ou moins, selon les bibliothèques. La durée du prêt d’été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est de quatre semaines, la durée du renouvellement est également de quatre semaines et trois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renouvellements sont possibles pendant la saison estivale.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8. Renouveler ses emprunts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Tous les documents peuvent être renouvelés trois fois, sauf ceux réservés par d’autres abonnés. Les jeux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vidéo peuvent être renouvelés qu’une seule fois.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9. Réserver des documents</w:t>
      </w:r>
    </w:p>
    <w:p w:rsid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Tous les documents peuvent être réservés sauf les jouets, les jeux vidéo, les liseuses, les best-sellers en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location, les trousses thématiques, les instruments de travail et les collections hors les murs.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 w:rsidRPr="006447B4">
        <w:rPr>
          <w:rFonts w:ascii="Arial" w:hAnsi="Arial" w:cs="Arial"/>
          <w:b/>
          <w:bCs/>
        </w:rPr>
        <w:t>10. Obtenir une carte organisme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Un organisme peut obtenir une carte de la bibliothèque lui permettant d’emprunter des documents pour</w:t>
      </w:r>
      <w:r>
        <w:rPr>
          <w:rFonts w:ascii="Arial" w:hAnsi="Arial" w:cs="Arial"/>
        </w:rPr>
        <w:t xml:space="preserve"> quatre</w:t>
      </w:r>
      <w:r w:rsidRPr="006447B4">
        <w:rPr>
          <w:rFonts w:ascii="Arial" w:hAnsi="Arial" w:cs="Arial"/>
        </w:rPr>
        <w:t xml:space="preserve"> semaines. Elle permet également :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d’emprunter jusqu’à 40 livres et livres audio, sans excéder 10 DVD/Blu-ray,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</w:rPr>
      </w:pPr>
      <w:r w:rsidRPr="006447B4">
        <w:rPr>
          <w:rFonts w:ascii="Arial" w:hAnsi="Arial" w:cs="Arial"/>
        </w:rPr>
        <w:t>• de bénéficier de collections en dépôt. À la demande d’un organisme, la bibliothèque peut préparer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une collection en fonction de critères tels un thème, un groupe d’âge ou un type de document.</w:t>
      </w:r>
    </w:p>
    <w:p w:rsidR="006447B4" w:rsidRPr="006447B4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6447B4">
        <w:rPr>
          <w:rFonts w:ascii="Arial" w:hAnsi="Arial" w:cs="Arial"/>
        </w:rPr>
        <w:t>Les organismes peuvent conserver la collection pour une durée variable selon leurs besoins et</w:t>
      </w:r>
      <w:r>
        <w:rPr>
          <w:rFonts w:ascii="Arial" w:hAnsi="Arial" w:cs="Arial"/>
        </w:rPr>
        <w:t xml:space="preserve"> </w:t>
      </w:r>
      <w:r w:rsidRPr="006447B4">
        <w:rPr>
          <w:rFonts w:ascii="Arial" w:hAnsi="Arial" w:cs="Arial"/>
        </w:rPr>
        <w:t>emprunter jusqu’à 500 documents dans le réseau.</w:t>
      </w:r>
    </w:p>
    <w:p w:rsidR="001F11C9" w:rsidRDefault="001F11C9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</w:p>
    <w:p w:rsidR="006447B4" w:rsidRPr="001F11C9" w:rsidRDefault="006447B4" w:rsidP="006447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36"/>
          <w:szCs w:val="36"/>
        </w:rPr>
      </w:pPr>
      <w:r w:rsidRPr="001F11C9">
        <w:rPr>
          <w:rFonts w:ascii="Arial" w:hAnsi="Arial" w:cs="Arial"/>
          <w:b/>
          <w:bCs/>
          <w:sz w:val="36"/>
          <w:szCs w:val="36"/>
        </w:rPr>
        <w:t>Bienvenue à votre bibliothèque et bonne visite!</w:t>
      </w:r>
    </w:p>
    <w:p w:rsidR="006447B4" w:rsidRDefault="006447B4" w:rsidP="006447B4">
      <w:pPr>
        <w:spacing w:before="120" w:after="120"/>
        <w:rPr>
          <w:rFonts w:ascii="Arial" w:hAnsi="Arial" w:cs="Arial"/>
        </w:rPr>
      </w:pPr>
    </w:p>
    <w:p w:rsidR="006447B4" w:rsidRDefault="006447B4" w:rsidP="006447B4">
      <w:pPr>
        <w:spacing w:before="120" w:after="120"/>
        <w:rPr>
          <w:rFonts w:ascii="Arial" w:hAnsi="Arial" w:cs="Arial"/>
        </w:rPr>
      </w:pPr>
    </w:p>
    <w:p w:rsidR="004E4E62" w:rsidRDefault="006447B4" w:rsidP="006447B4">
      <w:pPr>
        <w:spacing w:before="120" w:after="120"/>
        <w:rPr>
          <w:rFonts w:ascii="Arial" w:hAnsi="Arial" w:cs="Arial"/>
          <w:noProof/>
        </w:rPr>
      </w:pPr>
      <w:r w:rsidRPr="006447B4">
        <w:rPr>
          <w:rFonts w:ascii="Arial" w:hAnsi="Arial" w:cs="Arial"/>
        </w:rPr>
        <w:t>Ce document a été élaboré en collaboration avec</w:t>
      </w:r>
      <w:r>
        <w:rPr>
          <w:rFonts w:ascii="Arial" w:hAnsi="Arial" w:cs="Arial"/>
        </w:rPr>
        <w:t xml:space="preserve"> AlterGo.</w:t>
      </w:r>
      <w:r w:rsidR="002D168A" w:rsidRPr="002D168A">
        <w:rPr>
          <w:noProof/>
        </w:rPr>
        <w:t xml:space="preserve"> </w:t>
      </w:r>
    </w:p>
    <w:p w:rsidR="0099399A" w:rsidRPr="006447B4" w:rsidRDefault="0099399A" w:rsidP="006447B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97305" cy="1297305"/>
            <wp:effectExtent l="19050" t="0" r="0" b="0"/>
            <wp:docPr id="3" name="Image 3" descr="G:\Echange de fichiers\Communications\logos_interne\AlterGo\ALTERGO_seul_avecmar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change de fichiers\Communications\logos_interne\AlterGo\ALTERGO_seul_avecmarg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99A" w:rsidRPr="006447B4" w:rsidSect="006447B4">
      <w:pgSz w:w="12240" w:h="15840"/>
      <w:pgMar w:top="1797" w:right="1800" w:bottom="179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436"/>
    <w:multiLevelType w:val="multilevel"/>
    <w:tmpl w:val="C5EEC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TkxfskTpQjVExHzLWkASoB3TFqs=" w:salt="1c9znV4DsfqOmYvRl+AW7g=="/>
  <w:defaultTabStop w:val="708"/>
  <w:hyphenationZone w:val="425"/>
  <w:characterSpacingControl w:val="doNotCompress"/>
  <w:compat/>
  <w:rsids>
    <w:rsidRoot w:val="006447B4"/>
    <w:rsid w:val="00024C36"/>
    <w:rsid w:val="0006689F"/>
    <w:rsid w:val="000B3B12"/>
    <w:rsid w:val="000D4DE1"/>
    <w:rsid w:val="00187B1C"/>
    <w:rsid w:val="001A7C09"/>
    <w:rsid w:val="001F11C9"/>
    <w:rsid w:val="001F5F6A"/>
    <w:rsid w:val="002557A3"/>
    <w:rsid w:val="002D168A"/>
    <w:rsid w:val="003E232C"/>
    <w:rsid w:val="003E6599"/>
    <w:rsid w:val="00465A51"/>
    <w:rsid w:val="004B1357"/>
    <w:rsid w:val="004C74F0"/>
    <w:rsid w:val="004E4E62"/>
    <w:rsid w:val="005F3A42"/>
    <w:rsid w:val="00606E62"/>
    <w:rsid w:val="00632AE5"/>
    <w:rsid w:val="006447B4"/>
    <w:rsid w:val="006749C8"/>
    <w:rsid w:val="00692A16"/>
    <w:rsid w:val="006F6039"/>
    <w:rsid w:val="00724AA4"/>
    <w:rsid w:val="007437DD"/>
    <w:rsid w:val="00767965"/>
    <w:rsid w:val="007F22E5"/>
    <w:rsid w:val="0086466D"/>
    <w:rsid w:val="008B23C5"/>
    <w:rsid w:val="008E0F29"/>
    <w:rsid w:val="0099399A"/>
    <w:rsid w:val="009E28EE"/>
    <w:rsid w:val="009E5C48"/>
    <w:rsid w:val="00A43242"/>
    <w:rsid w:val="00A45308"/>
    <w:rsid w:val="00A76D14"/>
    <w:rsid w:val="00A8372A"/>
    <w:rsid w:val="00B15626"/>
    <w:rsid w:val="00BB7685"/>
    <w:rsid w:val="00D641E4"/>
    <w:rsid w:val="00D82AE9"/>
    <w:rsid w:val="00DD61F7"/>
    <w:rsid w:val="00E16092"/>
    <w:rsid w:val="00FA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9E28E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066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4184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préparation à une visite d’un groupe dans les bibliothèques de Montréal</vt:lpstr>
    </vt:vector>
  </TitlesOfParts>
  <Company>Ville de Montréal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préparation à une visite d’un groupe dans les bibliothèques de Montréal</dc:title>
  <dc:creator>Mélina Morin</dc:creator>
  <cp:lastModifiedBy>Marina Le chêne</cp:lastModifiedBy>
  <cp:revision>3</cp:revision>
  <dcterms:created xsi:type="dcterms:W3CDTF">2016-02-09T16:36:00Z</dcterms:created>
  <dcterms:modified xsi:type="dcterms:W3CDTF">2016-02-09T16:36:00Z</dcterms:modified>
</cp:coreProperties>
</file>